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65951" w14:textId="77777777" w:rsidR="00EF5725" w:rsidRPr="009D111A" w:rsidRDefault="00EF5725" w:rsidP="00EF5725">
      <w:pPr>
        <w:keepNext/>
        <w:keepLines/>
        <w:widowControl w:val="0"/>
        <w:autoSpaceDE w:val="0"/>
        <w:autoSpaceDN w:val="0"/>
        <w:spacing w:before="240" w:after="0" w:line="240" w:lineRule="auto"/>
        <w:ind w:left="100"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lang w:val="en-US"/>
        </w:rPr>
      </w:pPr>
      <w:bookmarkStart w:id="0" w:name="_GoBack"/>
      <w:bookmarkEnd w:id="0"/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lang w:val="en-US"/>
        </w:rPr>
        <w:t>Frequently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1"/>
          <w:sz w:val="40"/>
          <w:szCs w:val="40"/>
          <w:lang w:val="en-US"/>
        </w:rPr>
        <w:t xml:space="preserve"> 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lang w:val="en-US"/>
        </w:rPr>
        <w:t>Asked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1"/>
          <w:sz w:val="40"/>
          <w:szCs w:val="40"/>
          <w:lang w:val="en-US"/>
        </w:rPr>
        <w:t xml:space="preserve"> Q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lang w:val="en-US"/>
        </w:rPr>
        <w:t>uestions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1"/>
          <w:sz w:val="40"/>
          <w:szCs w:val="40"/>
          <w:lang w:val="en-US"/>
        </w:rPr>
        <w:t xml:space="preserve"> 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lang w:val="en-US"/>
        </w:rPr>
        <w:t>(FAQs)</w:t>
      </w:r>
    </w:p>
    <w:p w14:paraId="7DCD5CC0" w14:textId="531C699F" w:rsidR="00EF5725" w:rsidRPr="009D111A" w:rsidRDefault="00EF5725" w:rsidP="00EF5725">
      <w:pPr>
        <w:keepNext/>
        <w:keepLines/>
        <w:widowControl w:val="0"/>
        <w:autoSpaceDE w:val="0"/>
        <w:autoSpaceDN w:val="0"/>
        <w:spacing w:before="40" w:after="0" w:line="240" w:lineRule="auto"/>
        <w:ind w:left="100" w:right="380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</w:pP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Changes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0"/>
          <w:sz w:val="32"/>
          <w:szCs w:val="32"/>
          <w:lang w:val="en-US"/>
        </w:rPr>
        <w:t xml:space="preserve"> 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to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0"/>
          <w:sz w:val="32"/>
          <w:szCs w:val="32"/>
          <w:lang w:val="en-US"/>
        </w:rPr>
        <w:t xml:space="preserve"> 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importer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0"/>
          <w:sz w:val="32"/>
          <w:szCs w:val="32"/>
          <w:lang w:val="en-US"/>
        </w:rPr>
        <w:t xml:space="preserve"> </w:t>
      </w:r>
      <w:r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>application form</w:t>
      </w:r>
      <w:r w:rsidR="00972612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>s</w:t>
      </w:r>
      <w:r w:rsidR="0010102C"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 xml:space="preserve"> – </w:t>
      </w:r>
      <w:r w:rsidR="000E639D"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>May</w:t>
      </w:r>
      <w:r w:rsidR="00984808"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 xml:space="preserve"> 2024 – Version </w:t>
      </w:r>
      <w:r w:rsidR="000E639D" w:rsidRPr="009D111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32"/>
          <w:szCs w:val="32"/>
          <w:lang w:val="en-US"/>
        </w:rPr>
        <w:t>2.0</w:t>
      </w:r>
    </w:p>
    <w:p w14:paraId="2F8E0608" w14:textId="77777777" w:rsidR="00D23DF3" w:rsidRPr="009D111A" w:rsidRDefault="00EF5725" w:rsidP="00EF5725">
      <w:pPr>
        <w:keepNext/>
        <w:keepLines/>
        <w:widowControl w:val="0"/>
        <w:autoSpaceDE w:val="0"/>
        <w:autoSpaceDN w:val="0"/>
        <w:spacing w:before="40" w:after="0" w:line="240" w:lineRule="auto"/>
        <w:ind w:left="100" w:right="380"/>
        <w:jc w:val="center"/>
        <w:outlineLvl w:val="2"/>
        <w:rPr>
          <w:rFonts w:ascii="Times New Roman" w:eastAsia="Times New Roman" w:hAnsi="Times New Roman" w:cs="Times New Roman"/>
          <w:b/>
          <w:bCs/>
          <w:color w:val="1F3763" w:themeColor="accent1" w:themeShade="7F"/>
          <w:sz w:val="24"/>
          <w:szCs w:val="24"/>
          <w:lang w:val="en-US"/>
        </w:rPr>
      </w:pPr>
      <w:r w:rsidRPr="009D111A">
        <w:rPr>
          <w:rFonts w:ascii="Times New Roman" w:eastAsia="Times New Roman" w:hAnsi="Times New Roman" w:cs="Times New Roman"/>
          <w:b/>
          <w:bCs/>
          <w:color w:val="1F3763" w:themeColor="accent1" w:themeShade="7F"/>
          <w:sz w:val="24"/>
          <w:szCs w:val="24"/>
          <w:lang w:val="en-US"/>
        </w:rPr>
        <w:t xml:space="preserve">DIRECÇÃO NACIONAL DA FARMACIA E MEDICAMENTOS (DNFM)  </w:t>
      </w:r>
    </w:p>
    <w:p w14:paraId="4A6C3A45" w14:textId="77987A05" w:rsidR="00EF5725" w:rsidRPr="009D111A" w:rsidRDefault="00EF5725" w:rsidP="00EF5725">
      <w:pPr>
        <w:keepNext/>
        <w:keepLines/>
        <w:widowControl w:val="0"/>
        <w:autoSpaceDE w:val="0"/>
        <w:autoSpaceDN w:val="0"/>
        <w:spacing w:before="40" w:after="0" w:line="240" w:lineRule="auto"/>
        <w:ind w:left="100" w:right="380"/>
        <w:jc w:val="center"/>
        <w:outlineLvl w:val="2"/>
        <w:rPr>
          <w:rFonts w:ascii="Times New Roman" w:eastAsia="Times New Roman" w:hAnsi="Times New Roman" w:cs="Times New Roman"/>
          <w:b/>
          <w:bCs/>
          <w:color w:val="1F3763" w:themeColor="accent1" w:themeShade="7F"/>
          <w:sz w:val="24"/>
          <w:szCs w:val="24"/>
          <w:lang w:val="en-US"/>
        </w:rPr>
      </w:pPr>
      <w:r w:rsidRPr="009D111A">
        <w:rPr>
          <w:rFonts w:ascii="Times New Roman" w:eastAsia="Times New Roman" w:hAnsi="Times New Roman" w:cs="Times New Roman"/>
          <w:b/>
          <w:bCs/>
          <w:color w:val="1F3763" w:themeColor="accent1" w:themeShade="7F"/>
          <w:sz w:val="24"/>
          <w:szCs w:val="24"/>
          <w:lang w:val="en-US"/>
        </w:rPr>
        <w:t>DEPARTEMENTO DE AUTORIZACÃO DE INTRODUCÃO NO MERCADO (DAIM)</w:t>
      </w:r>
    </w:p>
    <w:p w14:paraId="440455FB" w14:textId="31A148EE" w:rsidR="00DF1B0E" w:rsidRPr="009D111A" w:rsidRDefault="00DF1B0E" w:rsidP="00EF5725"/>
    <w:tbl>
      <w:tblPr>
        <w:tblStyle w:val="TableGrid"/>
        <w:tblW w:w="1445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06"/>
        <w:gridCol w:w="9993"/>
      </w:tblGrid>
      <w:tr w:rsidR="00292084" w:rsidRPr="009D111A" w14:paraId="5ED7220B" w14:textId="77777777" w:rsidTr="00155ECB">
        <w:trPr>
          <w:cantSplit/>
        </w:trPr>
        <w:tc>
          <w:tcPr>
            <w:tcW w:w="1560" w:type="dxa"/>
          </w:tcPr>
          <w:p w14:paraId="766B7A6A" w14:textId="77777777" w:rsidR="00292084" w:rsidRPr="009D111A" w:rsidRDefault="00292084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14442979" w14:textId="2B5DE492" w:rsidR="00292084" w:rsidRPr="009D111A" w:rsidRDefault="00292084" w:rsidP="0034593F">
            <w:r w:rsidRPr="009D111A">
              <w:t>Which form do I use to submit an application</w:t>
            </w:r>
            <w:r w:rsidR="003714E2" w:rsidRPr="009D111A">
              <w:t xml:space="preserve"> to import a medicine into Timor-Leste</w:t>
            </w:r>
          </w:p>
        </w:tc>
        <w:tc>
          <w:tcPr>
            <w:tcW w:w="9993" w:type="dxa"/>
          </w:tcPr>
          <w:p w14:paraId="122392C4" w14:textId="2E7C2BDF" w:rsidR="00972612" w:rsidRPr="00972612" w:rsidRDefault="003714E2" w:rsidP="00972612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9D111A">
              <w:rPr>
                <w:lang w:val="en-US"/>
              </w:rPr>
              <w:t>All applications submitted to DNFM should be completed using the DNFM Importer Medicine Application Form</w:t>
            </w:r>
            <w:r w:rsidR="00972612">
              <w:rPr>
                <w:lang w:val="en-US"/>
              </w:rPr>
              <w:t>s</w:t>
            </w:r>
            <w:r w:rsidRPr="009D111A">
              <w:rPr>
                <w:lang w:val="en-US"/>
              </w:rPr>
              <w:t>, available on the DNFM website</w:t>
            </w:r>
            <w:r w:rsidR="00EE5C03" w:rsidRPr="009D111A">
              <w:rPr>
                <w:lang w:val="en-US"/>
              </w:rPr>
              <w:t xml:space="preserve">: </w:t>
            </w:r>
            <w:hyperlink r:id="rId11" w:history="1">
              <w:r w:rsidR="00760D8B" w:rsidRPr="009D111A">
                <w:rPr>
                  <w:rStyle w:val="Hyperlink"/>
                  <w:lang w:val="en-US"/>
                </w:rPr>
                <w:t>https://apps.ms.gov.tl/dnfm/dept.php?lan=tet</w:t>
              </w:r>
            </w:hyperlink>
            <w:r w:rsidR="00760D8B" w:rsidRPr="009D111A">
              <w:rPr>
                <w:lang w:val="en-US"/>
              </w:rPr>
              <w:t>.</w:t>
            </w:r>
            <w:r w:rsidR="000764B5" w:rsidRPr="009D111A">
              <w:rPr>
                <w:lang w:val="en-US"/>
              </w:rPr>
              <w:t xml:space="preserve"> </w:t>
            </w:r>
          </w:p>
          <w:p w14:paraId="15F7CF44" w14:textId="3AFB04E2" w:rsidR="000764B5" w:rsidRPr="009D111A" w:rsidRDefault="000764B5" w:rsidP="000764B5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9D111A">
              <w:rPr>
                <w:lang w:val="en-US"/>
              </w:rPr>
              <w:t>You can also contact DNFM (</w:t>
            </w:r>
            <w:hyperlink r:id="rId12" w:history="1">
              <w:r w:rsidRPr="009D111A">
                <w:rPr>
                  <w:rStyle w:val="Hyperlink"/>
                  <w:lang w:val="en-US"/>
                </w:rPr>
                <w:t>daim010920@gmail.com</w:t>
              </w:r>
            </w:hyperlink>
            <w:r w:rsidRPr="009D111A">
              <w:rPr>
                <w:lang w:val="en-US"/>
              </w:rPr>
              <w:t>) to request an electronic version of the application form.</w:t>
            </w:r>
          </w:p>
        </w:tc>
      </w:tr>
      <w:tr w:rsidR="00EF5725" w14:paraId="6A6DB17C" w14:textId="77777777" w:rsidTr="00155ECB">
        <w:trPr>
          <w:cantSplit/>
        </w:trPr>
        <w:tc>
          <w:tcPr>
            <w:tcW w:w="1560" w:type="dxa"/>
          </w:tcPr>
          <w:p w14:paraId="705D2656" w14:textId="77777777" w:rsidR="00EF5725" w:rsidRPr="009D111A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409495DF" w14:textId="389074B2" w:rsidR="00EF5725" w:rsidRPr="009D111A" w:rsidRDefault="00EF5725" w:rsidP="0034593F">
            <w:r w:rsidRPr="009D111A">
              <w:t>What are the required testing conditions for stability data for Timor-Leste?</w:t>
            </w:r>
          </w:p>
        </w:tc>
        <w:tc>
          <w:tcPr>
            <w:tcW w:w="9993" w:type="dxa"/>
          </w:tcPr>
          <w:p w14:paraId="3D7B5A27" w14:textId="77777777" w:rsidR="00EF5725" w:rsidRPr="009D111A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9D111A">
              <w:t xml:space="preserve">Long-term stability testing of non-refrigerated products for Timor-Leste should be conducted at </w:t>
            </w:r>
          </w:p>
          <w:p w14:paraId="403E5672" w14:textId="628D1581" w:rsidR="00EF5725" w:rsidRPr="009D111A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  <w:rPr>
                <w:lang w:val="en-US"/>
              </w:rPr>
            </w:pPr>
            <w:r w:rsidRPr="009D111A">
              <w:t>30°C ± 2°C/65% RH ± 5% RH</w:t>
            </w:r>
            <w:r w:rsidRPr="009D111A">
              <w:rPr>
                <w:lang w:val="en-US"/>
              </w:rPr>
              <w:t xml:space="preserve"> (Zone IVa)</w:t>
            </w:r>
            <w:r w:rsidR="7981D7F0" w:rsidRPr="009D111A">
              <w:rPr>
                <w:lang w:val="en-US"/>
              </w:rPr>
              <w:t>;</w:t>
            </w:r>
            <w:r w:rsidRPr="009D111A">
              <w:rPr>
                <w:lang w:val="en-US"/>
              </w:rPr>
              <w:t xml:space="preserve"> or </w:t>
            </w:r>
          </w:p>
          <w:p w14:paraId="328729CF" w14:textId="0E675DAA" w:rsidR="00EF5725" w:rsidRPr="009D111A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  <w:rPr>
                <w:lang w:val="en-US"/>
              </w:rPr>
            </w:pPr>
            <w:r w:rsidRPr="009D111A">
              <w:t>30°C ± 2°C/75% RH ± 5% RH</w:t>
            </w:r>
            <w:r w:rsidRPr="009D111A">
              <w:rPr>
                <w:lang w:val="en-US"/>
              </w:rPr>
              <w:t xml:space="preserve"> (Zone IVb).</w:t>
            </w:r>
          </w:p>
          <w:p w14:paraId="065BAE3D" w14:textId="2762D136" w:rsidR="00EF5725" w:rsidRPr="009D111A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9D111A">
              <w:rPr>
                <w:lang w:val="en-US"/>
              </w:rPr>
              <w:t>Long</w:t>
            </w:r>
            <w:r w:rsidRPr="009D111A">
              <w:t>-term testing should be provided for 3 batches of the finished product covering at least 12 months.</w:t>
            </w:r>
          </w:p>
          <w:p w14:paraId="06380AF1" w14:textId="77777777" w:rsidR="00EF5725" w:rsidRPr="009D111A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9D111A">
              <w:rPr>
                <w:lang w:val="en-US"/>
              </w:rPr>
              <w:t>Accelerated stability data should also be provided. For non-refrigerated products, accelerated stability studies should typically be conducted at 40 °C/75% RH for 6 months, covering at least 3 batches of the finished product.</w:t>
            </w:r>
          </w:p>
          <w:p w14:paraId="1F4663C1" w14:textId="4E91DDE5" w:rsidR="00EF5725" w:rsidRPr="009D111A" w:rsidRDefault="00216B78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>
              <w:rPr>
                <w:lang w:val="en-US"/>
              </w:rPr>
              <w:t>Further</w:t>
            </w:r>
            <w:r w:rsidR="00EF5725" w:rsidRPr="009D111A">
              <w:t xml:space="preserve"> details are available in the </w:t>
            </w:r>
            <w:hyperlink r:id="rId13" w:history="1">
              <w:r w:rsidR="00EF5725" w:rsidRPr="009D111A">
                <w:rPr>
                  <w:rStyle w:val="Hyperlink"/>
                  <w:lang w:val="en-US"/>
                </w:rPr>
                <w:t>ASEAN Guideline on stability study of drug product</w:t>
              </w:r>
            </w:hyperlink>
            <w:r w:rsidR="00EF5725" w:rsidRPr="009D111A">
              <w:t>.</w:t>
            </w:r>
          </w:p>
        </w:tc>
      </w:tr>
      <w:tr w:rsidR="00EF5725" w14:paraId="2D510672" w14:textId="77777777" w:rsidTr="00155ECB">
        <w:trPr>
          <w:cantSplit/>
        </w:trPr>
        <w:tc>
          <w:tcPr>
            <w:tcW w:w="1560" w:type="dxa"/>
          </w:tcPr>
          <w:p w14:paraId="0D3EE21A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4074C32E" w14:textId="2DD59BA9" w:rsidR="00EF5725" w:rsidRDefault="00EF5725" w:rsidP="0034593F">
            <w:r w:rsidRPr="00EF5725">
              <w:t>What if the available stability data is for finished product tested under less stressful conditions?</w:t>
            </w:r>
          </w:p>
        </w:tc>
        <w:tc>
          <w:tcPr>
            <w:tcW w:w="9993" w:type="dxa"/>
          </w:tcPr>
          <w:p w14:paraId="70AD615C" w14:textId="05EFD372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34593F">
              <w:rPr>
                <w:lang w:val="en-US"/>
              </w:rPr>
              <w:t>If</w:t>
            </w:r>
            <w:r w:rsidRPr="00EF5725">
              <w:t xml:space="preserve"> available long-term stability data is based on conditions that are less stressful (e.g. 25</w:t>
            </w:r>
            <w:r w:rsidR="0034593F">
              <w:t> </w:t>
            </w:r>
            <w:r w:rsidRPr="00EF5725">
              <w:t>°C/65% RH), DNFM may request:</w:t>
            </w:r>
          </w:p>
          <w:p w14:paraId="467CFF48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a shorter shelf-life than the period covered by long-term data, or</w:t>
            </w:r>
          </w:p>
          <w:p w14:paraId="445A468C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additional label warning statements, or</w:t>
            </w:r>
          </w:p>
          <w:p w14:paraId="56513715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additional stability data.</w:t>
            </w:r>
          </w:p>
          <w:p w14:paraId="5A709D57" w14:textId="2253273D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34593F">
              <w:rPr>
                <w:lang w:val="en-US"/>
              </w:rPr>
              <w:t>Further</w:t>
            </w:r>
            <w:r w:rsidRPr="00EF5725">
              <w:t xml:space="preserve"> guidance is available in the </w:t>
            </w:r>
            <w:hyperlink r:id="rId14" w:history="1">
              <w:r w:rsidRPr="00EF5725">
                <w:rPr>
                  <w:rStyle w:val="Hyperlink"/>
                  <w:lang w:val="en-US"/>
                </w:rPr>
                <w:t>ASEAN Guideline on stability study of drug product</w:t>
              </w:r>
            </w:hyperlink>
            <w:r w:rsidRPr="00EF5725">
              <w:t>.</w:t>
            </w:r>
          </w:p>
        </w:tc>
      </w:tr>
      <w:tr w:rsidR="00EF5725" w14:paraId="21CB22D0" w14:textId="77777777" w:rsidTr="00155ECB">
        <w:trPr>
          <w:cantSplit/>
        </w:trPr>
        <w:tc>
          <w:tcPr>
            <w:tcW w:w="1560" w:type="dxa"/>
          </w:tcPr>
          <w:p w14:paraId="18711636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456DE471" w14:textId="30A9486C" w:rsidR="00EF5725" w:rsidRDefault="00EF5725" w:rsidP="0034593F">
            <w:r w:rsidRPr="00EF5725">
              <w:t>I am unable to get stability data for the finished product, what should I do?</w:t>
            </w:r>
          </w:p>
        </w:tc>
        <w:tc>
          <w:tcPr>
            <w:tcW w:w="9993" w:type="dxa"/>
          </w:tcPr>
          <w:p w14:paraId="2FD72C4F" w14:textId="7042E143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 xml:space="preserve">From 1 March 2024, all applications for medicine registration </w:t>
            </w:r>
            <w:r w:rsidR="005F6FD0">
              <w:rPr>
                <w:lang w:val="en-US"/>
              </w:rPr>
              <w:t xml:space="preserve">using Route A and Route B </w:t>
            </w:r>
            <w:r w:rsidRPr="00EF5725">
              <w:rPr>
                <w:lang w:val="en-US"/>
              </w:rPr>
              <w:t xml:space="preserve">should include stability data for the finished product. </w:t>
            </w:r>
          </w:p>
          <w:p w14:paraId="6CCB9023" w14:textId="6EFCB15E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>All finished product manufacturers should hold this information about the product and should be able to provide it to you</w:t>
            </w:r>
            <w:r w:rsidR="00647818">
              <w:rPr>
                <w:lang w:val="en-US"/>
              </w:rPr>
              <w:t xml:space="preserve"> for submission to DNFM</w:t>
            </w:r>
            <w:r w:rsidRPr="00EF5725">
              <w:rPr>
                <w:lang w:val="en-US"/>
              </w:rPr>
              <w:t>.</w:t>
            </w:r>
          </w:p>
          <w:p w14:paraId="23E1A030" w14:textId="4F16A6D5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>If you cannot contact the manufacturer directly, request this data from the distributor or supplier who has contact with the manufacturer.</w:t>
            </w:r>
          </w:p>
        </w:tc>
      </w:tr>
      <w:tr w:rsidR="00EF5725" w14:paraId="3CFD23F7" w14:textId="77777777" w:rsidTr="00155ECB">
        <w:trPr>
          <w:cantSplit/>
        </w:trPr>
        <w:tc>
          <w:tcPr>
            <w:tcW w:w="1560" w:type="dxa"/>
          </w:tcPr>
          <w:p w14:paraId="09034315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5D3134F9" w14:textId="17B5702A" w:rsidR="00EF5725" w:rsidRDefault="00EF5725" w:rsidP="0034593F">
            <w:r w:rsidRPr="00EF5725">
              <w:t>What evidence do I need that the product is approved in one of the reference agencies</w:t>
            </w:r>
            <w:r>
              <w:t xml:space="preserve"> or </w:t>
            </w:r>
            <w:r w:rsidRPr="00EF5725">
              <w:t xml:space="preserve">institutions </w:t>
            </w:r>
            <w:r w:rsidR="00216B78">
              <w:t xml:space="preserve">for Route A </w:t>
            </w:r>
            <w:r w:rsidRPr="00EF5725">
              <w:t>(Section F1 of the application form)?</w:t>
            </w:r>
          </w:p>
        </w:tc>
        <w:tc>
          <w:tcPr>
            <w:tcW w:w="9993" w:type="dxa"/>
          </w:tcPr>
          <w:p w14:paraId="03294517" w14:textId="77777777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>Evidence of product approval could include:</w:t>
            </w:r>
          </w:p>
          <w:p w14:paraId="614C3508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 xml:space="preserve">an approval letter from a regulatory authority, or </w:t>
            </w:r>
          </w:p>
          <w:p w14:paraId="439B5E28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 xml:space="preserve">public register listing, or </w:t>
            </w:r>
          </w:p>
          <w:p w14:paraId="3A7804BD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 xml:space="preserve">registration number and date of registration, or </w:t>
            </w:r>
          </w:p>
          <w:p w14:paraId="295AA931" w14:textId="45460512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 xml:space="preserve">a certificate of registration </w:t>
            </w:r>
            <w:r w:rsidR="00216B78" w:rsidRPr="00216B78">
              <w:rPr>
                <w:highlight w:val="yellow"/>
              </w:rPr>
              <w:t>or Certificate of Pharmaceutical Product</w:t>
            </w:r>
            <w:r w:rsidR="00216B78">
              <w:t xml:space="preserve"> (CoPP) </w:t>
            </w:r>
            <w:r w:rsidRPr="00EF5725">
              <w:t xml:space="preserve">from the reference regulatory agency. </w:t>
            </w:r>
          </w:p>
          <w:p w14:paraId="1619912C" w14:textId="66B84D4B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>Manufacturers should hold evidence of product approval in other countries and should be able to provide it to you</w:t>
            </w:r>
            <w:r w:rsidR="00D667F4">
              <w:rPr>
                <w:lang w:val="en-US"/>
              </w:rPr>
              <w:t xml:space="preserve"> for submission to DNFM</w:t>
            </w:r>
            <w:r w:rsidRPr="00EF5725">
              <w:rPr>
                <w:lang w:val="en-US"/>
              </w:rPr>
              <w:t xml:space="preserve">. </w:t>
            </w:r>
          </w:p>
          <w:p w14:paraId="6DE30CB0" w14:textId="19958177" w:rsidR="00EF5725" w:rsidRPr="00EF5725" w:rsidRDefault="001951A0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>
              <w:rPr>
                <w:lang w:val="en-US"/>
              </w:rPr>
              <w:t xml:space="preserve">You should also provide </w:t>
            </w:r>
            <w:r w:rsidR="00EF5725" w:rsidRPr="00EF5725">
              <w:rPr>
                <w:lang w:val="en-US"/>
              </w:rPr>
              <w:t xml:space="preserve">evidence </w:t>
            </w:r>
            <w:r>
              <w:rPr>
                <w:lang w:val="en-US"/>
              </w:rPr>
              <w:t>that</w:t>
            </w:r>
            <w:r w:rsidR="00B67FD2">
              <w:rPr>
                <w:lang w:val="en-US"/>
              </w:rPr>
              <w:t xml:space="preserve"> the product approved by </w:t>
            </w:r>
            <w:r w:rsidR="00827B0D">
              <w:rPr>
                <w:lang w:val="en-US"/>
              </w:rPr>
              <w:t xml:space="preserve">a </w:t>
            </w:r>
            <w:r w:rsidR="00B67FD2">
              <w:rPr>
                <w:lang w:val="en-US"/>
              </w:rPr>
              <w:t xml:space="preserve">reference agency is the same as the </w:t>
            </w:r>
            <w:r w:rsidR="00EF5725" w:rsidRPr="00EF5725">
              <w:rPr>
                <w:lang w:val="en-US"/>
              </w:rPr>
              <w:t xml:space="preserve">product proposed for Timor-Leste. This </w:t>
            </w:r>
            <w:r w:rsidR="00B67FD2">
              <w:rPr>
                <w:lang w:val="en-US"/>
              </w:rPr>
              <w:t>includes evidence that the</w:t>
            </w:r>
            <w:r w:rsidR="00827B0D">
              <w:rPr>
                <w:lang w:val="en-US"/>
              </w:rPr>
              <w:t xml:space="preserve"> reference </w:t>
            </w:r>
            <w:r w:rsidR="009B6BE9">
              <w:rPr>
                <w:lang w:val="en-US"/>
              </w:rPr>
              <w:t xml:space="preserve">product </w:t>
            </w:r>
            <w:r w:rsidR="00827B0D">
              <w:rPr>
                <w:lang w:val="en-US"/>
              </w:rPr>
              <w:t xml:space="preserve">and </w:t>
            </w:r>
            <w:r w:rsidR="009B6BE9">
              <w:rPr>
                <w:lang w:val="en-US"/>
              </w:rPr>
              <w:t xml:space="preserve">the </w:t>
            </w:r>
            <w:r w:rsidR="00827B0D">
              <w:rPr>
                <w:lang w:val="en-US"/>
              </w:rPr>
              <w:t>proposed product</w:t>
            </w:r>
            <w:r w:rsidR="00EF5725" w:rsidRPr="00EF5725">
              <w:rPr>
                <w:lang w:val="en-US"/>
              </w:rPr>
              <w:t xml:space="preserve"> have</w:t>
            </w:r>
            <w:r w:rsidR="00EF5725" w:rsidRPr="00EF5725">
              <w:t>:</w:t>
            </w:r>
          </w:p>
          <w:p w14:paraId="3A6AB59F" w14:textId="5545415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same qualitative and quantitative composition</w:t>
            </w:r>
            <w:r w:rsidR="007F206F">
              <w:t>, and</w:t>
            </w:r>
            <w:r w:rsidRPr="00EF5725">
              <w:t xml:space="preserve"> </w:t>
            </w:r>
          </w:p>
          <w:p w14:paraId="2AC66E01" w14:textId="6FD15B0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same strength</w:t>
            </w:r>
            <w:r w:rsidR="007F206F">
              <w:t>, and</w:t>
            </w:r>
          </w:p>
          <w:p w14:paraId="1976DCA8" w14:textId="16844AF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same pharmaceutical form</w:t>
            </w:r>
            <w:r w:rsidR="007F206F">
              <w:t>, and</w:t>
            </w:r>
          </w:p>
          <w:p w14:paraId="7FFBC6A9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same intended use, and</w:t>
            </w:r>
          </w:p>
          <w:p w14:paraId="43CA2513" w14:textId="6BDB9611" w:rsid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same manufacturing site</w:t>
            </w:r>
            <w:r w:rsidR="009E69BA">
              <w:t>(s)</w:t>
            </w:r>
            <w:r w:rsidRPr="00EF5725">
              <w:t xml:space="preserve">. </w:t>
            </w:r>
          </w:p>
        </w:tc>
      </w:tr>
      <w:tr w:rsidR="00EF5725" w14:paraId="7F0274EB" w14:textId="77777777" w:rsidTr="00155ECB">
        <w:trPr>
          <w:cantSplit/>
        </w:trPr>
        <w:tc>
          <w:tcPr>
            <w:tcW w:w="1560" w:type="dxa"/>
          </w:tcPr>
          <w:p w14:paraId="5659A14E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478E20BA" w14:textId="357E8F95" w:rsidR="00EF5725" w:rsidRDefault="00EF5725" w:rsidP="0034593F">
            <w:r w:rsidRPr="00EF5725">
              <w:t>I am unable to get evidence that the product is approved in one of the reference agencies</w:t>
            </w:r>
            <w:r>
              <w:t xml:space="preserve"> or </w:t>
            </w:r>
            <w:r w:rsidRPr="00EF5725">
              <w:t>institutions, what should I do?</w:t>
            </w:r>
          </w:p>
        </w:tc>
        <w:tc>
          <w:tcPr>
            <w:tcW w:w="9993" w:type="dxa"/>
          </w:tcPr>
          <w:p w14:paraId="6FB29940" w14:textId="5C92FD5A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bookmarkStart w:id="1" w:name="_Hlk152675027"/>
            <w:r w:rsidRPr="00EF5725">
              <w:rPr>
                <w:lang w:val="en-US"/>
              </w:rPr>
              <w:t>Contact the manufacturer for information about countries where they supply the product. They should maintain records of market authorization for each export market.</w:t>
            </w:r>
          </w:p>
          <w:p w14:paraId="328A4EEC" w14:textId="5EAAF09F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 xml:space="preserve">If the manufacturer </w:t>
            </w:r>
            <w:r w:rsidR="00C33140">
              <w:rPr>
                <w:lang w:val="en-US"/>
              </w:rPr>
              <w:t>cannot</w:t>
            </w:r>
            <w:r w:rsidRPr="00EF5725">
              <w:rPr>
                <w:lang w:val="en-US"/>
              </w:rPr>
              <w:t xml:space="preserve"> provide this information, the product may not be approved by any reference agencies. You </w:t>
            </w:r>
            <w:r w:rsidR="520B2D5D" w:rsidRPr="7C5C8508">
              <w:rPr>
                <w:lang w:val="en-US"/>
              </w:rPr>
              <w:t>may</w:t>
            </w:r>
            <w:r w:rsidRPr="00EF5725">
              <w:rPr>
                <w:lang w:val="en-US"/>
              </w:rPr>
              <w:t xml:space="preserve"> proceed using Route B in the importer application form. </w:t>
            </w:r>
            <w:bookmarkEnd w:id="1"/>
          </w:p>
        </w:tc>
      </w:tr>
      <w:tr w:rsidR="00EF5725" w14:paraId="05D1AA34" w14:textId="77777777" w:rsidTr="00155ECB">
        <w:trPr>
          <w:cantSplit/>
        </w:trPr>
        <w:tc>
          <w:tcPr>
            <w:tcW w:w="1560" w:type="dxa"/>
          </w:tcPr>
          <w:p w14:paraId="1C4C5CA0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388A2657" w14:textId="50645C33" w:rsidR="00EF5725" w:rsidRDefault="00EF5725" w:rsidP="0034593F">
            <w:r w:rsidRPr="00EF5725">
              <w:t>What is a full ASEAN Common Technical Dossier (CTD)?</w:t>
            </w:r>
          </w:p>
        </w:tc>
        <w:tc>
          <w:tcPr>
            <w:tcW w:w="9993" w:type="dxa"/>
          </w:tcPr>
          <w:p w14:paraId="0855EED0" w14:textId="77777777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EF5725">
              <w:rPr>
                <w:lang w:val="en-US"/>
              </w:rPr>
              <w:t xml:space="preserve">From 1 March 2024, all applications following Route B will require the submission of a full ASEAN CTD. </w:t>
            </w:r>
          </w:p>
          <w:p w14:paraId="63B755A3" w14:textId="77777777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EF5725">
              <w:rPr>
                <w:lang w:val="en-US"/>
              </w:rPr>
              <w:t xml:space="preserve">The ASEAN CTD is a </w:t>
            </w:r>
            <w:r w:rsidRPr="00EF5725">
              <w:t>standardized format for submitting regulatory documentation. It contains specific information about the finished drug product, including manufacturing process and quality controls.</w:t>
            </w:r>
            <w:r w:rsidRPr="00EF5725">
              <w:rPr>
                <w:lang w:val="en-US"/>
              </w:rPr>
              <w:t xml:space="preserve"> This includes:</w:t>
            </w:r>
          </w:p>
          <w:p w14:paraId="0B5D3146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Part I. Table of Contents, Administrative Data and Product Information</w:t>
            </w:r>
          </w:p>
          <w:p w14:paraId="113802DB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Part II. Quality Document including the Quality Overall Summary and Body of Data</w:t>
            </w:r>
          </w:p>
          <w:p w14:paraId="2CD2366B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Part III. Nonclinical Document (as required)</w:t>
            </w:r>
          </w:p>
          <w:p w14:paraId="177E7CD1" w14:textId="77777777" w:rsidR="00EF5725" w:rsidRPr="00EF5725" w:rsidRDefault="00EF5725" w:rsidP="0034593F">
            <w:pPr>
              <w:numPr>
                <w:ilvl w:val="1"/>
                <w:numId w:val="4"/>
              </w:numPr>
              <w:spacing w:after="120"/>
              <w:ind w:left="813" w:hanging="279"/>
            </w:pPr>
            <w:r w:rsidRPr="00EF5725">
              <w:t>Part IV. Clinical Document (as required).</w:t>
            </w:r>
          </w:p>
          <w:p w14:paraId="19CC6A37" w14:textId="77C8618E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t>The full ASEAN CTD for each product should typically be available from manufacturers</w:t>
            </w:r>
            <w:r w:rsidR="009E4865">
              <w:t xml:space="preserve"> for submitting to regulatory agencies</w:t>
            </w:r>
            <w:r w:rsidRPr="00EF5725">
              <w:t>.</w:t>
            </w:r>
          </w:p>
          <w:p w14:paraId="4F572BAD" w14:textId="717F2B18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t xml:space="preserve">More information </w:t>
            </w:r>
            <w:r w:rsidR="0055710F">
              <w:t xml:space="preserve">about the content and structure of the ASEAN CTD </w:t>
            </w:r>
            <w:r w:rsidRPr="00EF5725">
              <w:t xml:space="preserve">is available at </w:t>
            </w:r>
            <w:hyperlink r:id="rId15" w:history="1">
              <w:r w:rsidRPr="00EF5725">
                <w:rPr>
                  <w:rStyle w:val="Hyperlink"/>
                </w:rPr>
                <w:t>https://asean.org/book/asean-common-technical-dossier/</w:t>
              </w:r>
            </w:hyperlink>
            <w:r w:rsidRPr="00EF5725">
              <w:t xml:space="preserve"> </w:t>
            </w:r>
          </w:p>
          <w:p w14:paraId="26EDA4A2" w14:textId="56571E08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t xml:space="preserve">Applications following Route A do not require the submission of a CTD. </w:t>
            </w:r>
          </w:p>
        </w:tc>
      </w:tr>
      <w:tr w:rsidR="00AA2691" w14:paraId="1DDACBDC" w14:textId="77777777" w:rsidTr="00155ECB">
        <w:trPr>
          <w:cantSplit/>
        </w:trPr>
        <w:tc>
          <w:tcPr>
            <w:tcW w:w="1560" w:type="dxa"/>
          </w:tcPr>
          <w:p w14:paraId="5AD16AEB" w14:textId="77777777" w:rsidR="00AA2691" w:rsidRPr="0052054E" w:rsidRDefault="00AA2691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2EFFA292" w14:textId="6325737F" w:rsidR="00AA2691" w:rsidRPr="0052054E" w:rsidRDefault="00AA2691" w:rsidP="0034593F">
            <w:r w:rsidRPr="0052054E">
              <w:t>I cannot access the ASEAN CTD, what should I do?</w:t>
            </w:r>
          </w:p>
        </w:tc>
        <w:tc>
          <w:tcPr>
            <w:tcW w:w="9993" w:type="dxa"/>
          </w:tcPr>
          <w:p w14:paraId="7AB1647F" w14:textId="77777777" w:rsidR="00AA2691" w:rsidRPr="0052054E" w:rsidRDefault="0064792B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52054E">
              <w:rPr>
                <w:lang w:val="en-US"/>
              </w:rPr>
              <w:t xml:space="preserve">After 1 March 2024, applications that </w:t>
            </w:r>
            <w:r w:rsidR="00AA2691" w:rsidRPr="0052054E">
              <w:rPr>
                <w:lang w:val="en-US"/>
              </w:rPr>
              <w:t>follow Route B</w:t>
            </w:r>
            <w:r w:rsidRPr="0052054E">
              <w:rPr>
                <w:lang w:val="en-US"/>
              </w:rPr>
              <w:t xml:space="preserve"> </w:t>
            </w:r>
            <w:r w:rsidR="003F6880" w:rsidRPr="0052054E">
              <w:rPr>
                <w:lang w:val="en-US"/>
              </w:rPr>
              <w:t>should</w:t>
            </w:r>
            <w:r w:rsidRPr="0052054E">
              <w:rPr>
                <w:lang w:val="en-US"/>
              </w:rPr>
              <w:t xml:space="preserve"> include the</w:t>
            </w:r>
            <w:r w:rsidR="00FC2213" w:rsidRPr="0052054E">
              <w:rPr>
                <w:lang w:val="en-US"/>
              </w:rPr>
              <w:t xml:space="preserve"> </w:t>
            </w:r>
            <w:r w:rsidRPr="0052054E">
              <w:rPr>
                <w:lang w:val="en-US"/>
              </w:rPr>
              <w:t xml:space="preserve">ASEAN CTD for the product. </w:t>
            </w:r>
            <w:r w:rsidR="00D41E34" w:rsidRPr="0052054E">
              <w:rPr>
                <w:lang w:val="en-US"/>
              </w:rPr>
              <w:t xml:space="preserve">This data </w:t>
            </w:r>
            <w:r w:rsidR="00D41E34" w:rsidRPr="0052054E">
              <w:t>should typically be available from manufacturers for submitting to regulatory agencies.</w:t>
            </w:r>
          </w:p>
          <w:p w14:paraId="200C95C8" w14:textId="14874204" w:rsidR="00D41E34" w:rsidRPr="0052054E" w:rsidRDefault="00DD1BCA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52054E">
              <w:t xml:space="preserve">If you </w:t>
            </w:r>
            <w:r w:rsidR="00972C9C" w:rsidRPr="0052054E">
              <w:t xml:space="preserve">cannot provide </w:t>
            </w:r>
            <w:r w:rsidR="00064C35" w:rsidRPr="0052054E">
              <w:t>the</w:t>
            </w:r>
            <w:r w:rsidR="00972C9C" w:rsidRPr="0052054E">
              <w:t xml:space="preserve"> ASEAN</w:t>
            </w:r>
            <w:r w:rsidR="00064C35" w:rsidRPr="0052054E">
              <w:t xml:space="preserve"> </w:t>
            </w:r>
            <w:r w:rsidR="00972C9C" w:rsidRPr="0052054E">
              <w:t>CTD</w:t>
            </w:r>
            <w:r w:rsidR="00064C35" w:rsidRPr="0052054E">
              <w:t>, DNFM may request</w:t>
            </w:r>
            <w:r w:rsidR="00A71D86" w:rsidRPr="0052054E">
              <w:t xml:space="preserve"> that the application is withdrawn. </w:t>
            </w:r>
          </w:p>
        </w:tc>
      </w:tr>
      <w:tr w:rsidR="00EF5725" w14:paraId="106012CC" w14:textId="77777777" w:rsidTr="00155ECB">
        <w:trPr>
          <w:cantSplit/>
        </w:trPr>
        <w:tc>
          <w:tcPr>
            <w:tcW w:w="1560" w:type="dxa"/>
          </w:tcPr>
          <w:p w14:paraId="66B6A369" w14:textId="77777777" w:rsidR="00EF5725" w:rsidRPr="0034593F" w:rsidRDefault="00EF5725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</w:rPr>
            </w:pPr>
          </w:p>
        </w:tc>
        <w:tc>
          <w:tcPr>
            <w:tcW w:w="2906" w:type="dxa"/>
          </w:tcPr>
          <w:p w14:paraId="07A7E6FD" w14:textId="1E5B278F" w:rsidR="00EF5725" w:rsidRDefault="00EF5725" w:rsidP="0034593F">
            <w:r w:rsidRPr="00EF5725">
              <w:t>If I have evidence that the product is approved in one of the reference agencies (Route A), do I need to provide a GMP certificate, a CoPP or a full ASEAN CTD?</w:t>
            </w:r>
          </w:p>
        </w:tc>
        <w:tc>
          <w:tcPr>
            <w:tcW w:w="9993" w:type="dxa"/>
          </w:tcPr>
          <w:p w14:paraId="6827CE5E" w14:textId="2D0406E1" w:rsidR="00EF5725" w:rsidRPr="00EF5725" w:rsidRDefault="00EF5725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EF5725">
              <w:rPr>
                <w:lang w:val="en-US"/>
              </w:rPr>
              <w:t>If the application follows Route A, you only need to submit attachments for Route A (</w:t>
            </w:r>
            <w:r w:rsidR="00D23DF3">
              <w:rPr>
                <w:lang w:val="en-US"/>
              </w:rPr>
              <w:t xml:space="preserve">Attachments </w:t>
            </w:r>
            <w:r w:rsidRPr="00EF5725">
              <w:rPr>
                <w:lang w:val="en-US"/>
              </w:rPr>
              <w:t xml:space="preserve">F1 and F2). </w:t>
            </w:r>
          </w:p>
          <w:p w14:paraId="4F552458" w14:textId="216654C0" w:rsidR="00EF5725" w:rsidRDefault="00EF5725" w:rsidP="003C769B">
            <w:pPr>
              <w:numPr>
                <w:ilvl w:val="0"/>
                <w:numId w:val="5"/>
              </w:numPr>
              <w:spacing w:after="120"/>
              <w:ind w:left="383" w:hanging="279"/>
            </w:pPr>
            <w:r w:rsidRPr="00EF5725">
              <w:rPr>
                <w:lang w:val="en-US"/>
              </w:rPr>
              <w:t xml:space="preserve">It is important that the evidence provided for international product approval is for the </w:t>
            </w:r>
            <w:r w:rsidRPr="001125A5">
              <w:rPr>
                <w:lang w:val="en-US"/>
              </w:rPr>
              <w:t>same</w:t>
            </w:r>
            <w:r w:rsidRPr="00EF5725">
              <w:rPr>
                <w:lang w:val="en-US"/>
              </w:rPr>
              <w:t xml:space="preserve"> product being proposed for supply in Timor-Leste.</w:t>
            </w:r>
          </w:p>
        </w:tc>
      </w:tr>
      <w:tr w:rsidR="008C7016" w14:paraId="3ED5B5D3" w14:textId="77777777" w:rsidTr="00155ECB">
        <w:trPr>
          <w:cantSplit/>
        </w:trPr>
        <w:tc>
          <w:tcPr>
            <w:tcW w:w="1560" w:type="dxa"/>
          </w:tcPr>
          <w:p w14:paraId="0CA8C0D5" w14:textId="77777777" w:rsidR="008C7016" w:rsidRPr="006C3195" w:rsidRDefault="008C7016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2906" w:type="dxa"/>
          </w:tcPr>
          <w:p w14:paraId="40FA5EDB" w14:textId="1327C3DB" w:rsidR="008C7016" w:rsidRPr="00BB2506" w:rsidRDefault="0048252B" w:rsidP="0034593F">
            <w:r w:rsidRPr="00BB2506">
              <w:t xml:space="preserve">Do I need to apply to DNFM to import </w:t>
            </w:r>
            <w:r w:rsidR="00D7692E" w:rsidRPr="00BB2506">
              <w:t xml:space="preserve">or supply </w:t>
            </w:r>
            <w:r w:rsidR="00AC58BA" w:rsidRPr="00BB2506">
              <w:t xml:space="preserve">traditional medicines or </w:t>
            </w:r>
            <w:r w:rsidR="00EA4A48" w:rsidRPr="00BB2506">
              <w:t>health supplement</w:t>
            </w:r>
            <w:r w:rsidR="00AC58BA" w:rsidRPr="00BB2506">
              <w:t>s</w:t>
            </w:r>
            <w:r w:rsidR="00EA4A48" w:rsidRPr="00BB2506">
              <w:t>?</w:t>
            </w:r>
          </w:p>
        </w:tc>
        <w:tc>
          <w:tcPr>
            <w:tcW w:w="9993" w:type="dxa"/>
          </w:tcPr>
          <w:p w14:paraId="1F788E4A" w14:textId="73128756" w:rsidR="008C7016" w:rsidRPr="00BB2506" w:rsidRDefault="0052649E" w:rsidP="0034593F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BB2506">
              <w:rPr>
                <w:lang w:val="en-US"/>
              </w:rPr>
              <w:t xml:space="preserve">All medicines must be registered with DNFM before they can be lawfully </w:t>
            </w:r>
            <w:r w:rsidR="00313B2D" w:rsidRPr="00BB2506">
              <w:rPr>
                <w:lang w:val="en-US"/>
              </w:rPr>
              <w:t xml:space="preserve">imported, </w:t>
            </w:r>
            <w:r w:rsidRPr="00BB2506">
              <w:rPr>
                <w:lang w:val="en-US"/>
              </w:rPr>
              <w:t xml:space="preserve">distributed </w:t>
            </w:r>
            <w:r w:rsidR="00B3540E" w:rsidRPr="00BB2506">
              <w:rPr>
                <w:lang w:val="en-US"/>
              </w:rPr>
              <w:t xml:space="preserve">or </w:t>
            </w:r>
            <w:r w:rsidRPr="00BB2506">
              <w:rPr>
                <w:lang w:val="en-US"/>
              </w:rPr>
              <w:t>sold in Timor-Leste</w:t>
            </w:r>
            <w:r w:rsidR="00AC58BA" w:rsidRPr="00BB2506">
              <w:rPr>
                <w:lang w:val="en-US"/>
              </w:rPr>
              <w:t xml:space="preserve">. This includes </w:t>
            </w:r>
            <w:r w:rsidR="00AC58BA" w:rsidRPr="00BB2506">
              <w:t>traditional medicines and health supplements.</w:t>
            </w:r>
          </w:p>
          <w:p w14:paraId="6015C93B" w14:textId="5B94EDB1" w:rsidR="00EE666A" w:rsidRPr="00BB2506" w:rsidRDefault="00D33D56" w:rsidP="00D7116C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BB2506">
              <w:t>Applications for t</w:t>
            </w:r>
            <w:r w:rsidR="00AC58BA" w:rsidRPr="00BB2506">
              <w:t xml:space="preserve">raditional medicines </w:t>
            </w:r>
            <w:r w:rsidR="00EE666A" w:rsidRPr="00BB2506">
              <w:t>and</w:t>
            </w:r>
            <w:r w:rsidR="00AC58BA" w:rsidRPr="00BB2506">
              <w:t xml:space="preserve"> health supplements</w:t>
            </w:r>
            <w:r w:rsidRPr="00BB2506">
              <w:t xml:space="preserve"> </w:t>
            </w:r>
            <w:r w:rsidR="008F5242" w:rsidRPr="00BB2506">
              <w:t>can proceed</w:t>
            </w:r>
            <w:r w:rsidR="00A961A4" w:rsidRPr="00BB2506">
              <w:t xml:space="preserve"> </w:t>
            </w:r>
            <w:r w:rsidR="00685D35" w:rsidRPr="00BB2506">
              <w:t>via</w:t>
            </w:r>
            <w:r w:rsidR="00A961A4" w:rsidRPr="00BB2506">
              <w:t xml:space="preserve"> </w:t>
            </w:r>
            <w:r w:rsidRPr="00BB2506">
              <w:t>Route C</w:t>
            </w:r>
            <w:r w:rsidR="00681809" w:rsidRPr="00BB2506">
              <w:t xml:space="preserve"> as outlined in the</w:t>
            </w:r>
            <w:r w:rsidR="00256353" w:rsidRPr="00BB2506">
              <w:t xml:space="preserve"> </w:t>
            </w:r>
            <w:r w:rsidR="00256353" w:rsidRPr="00BB2506">
              <w:rPr>
                <w:lang w:val="en-US"/>
              </w:rPr>
              <w:t>DNFM Importer Medicine Application Form</w:t>
            </w:r>
            <w:r w:rsidR="00D379AA" w:rsidRPr="00BB2506">
              <w:rPr>
                <w:lang w:val="en-US"/>
              </w:rPr>
              <w:t xml:space="preserve"> for Traditional Medicines and Health Supplements</w:t>
            </w:r>
            <w:r w:rsidR="00256353" w:rsidRPr="00BB2506">
              <w:rPr>
                <w:lang w:val="en-US"/>
              </w:rPr>
              <w:t xml:space="preserve">, available on the DNFM website: </w:t>
            </w:r>
            <w:hyperlink r:id="rId16" w:history="1">
              <w:r w:rsidR="00256353" w:rsidRPr="00BB2506">
                <w:rPr>
                  <w:rStyle w:val="Hyperlink"/>
                  <w:lang w:val="en-US"/>
                </w:rPr>
                <w:t>https://apps.ms.gov.tl/dnfm/dept.php?lan=tet</w:t>
              </w:r>
            </w:hyperlink>
            <w:r w:rsidR="00256353" w:rsidRPr="00BB2506">
              <w:rPr>
                <w:lang w:val="en-US"/>
              </w:rPr>
              <w:t xml:space="preserve">. </w:t>
            </w:r>
            <w:r w:rsidR="00681809" w:rsidRPr="00BB2506">
              <w:t xml:space="preserve"> </w:t>
            </w:r>
          </w:p>
        </w:tc>
      </w:tr>
      <w:tr w:rsidR="00A87068" w14:paraId="6E608A55" w14:textId="77777777" w:rsidTr="00155ECB">
        <w:trPr>
          <w:cantSplit/>
        </w:trPr>
        <w:tc>
          <w:tcPr>
            <w:tcW w:w="1560" w:type="dxa"/>
          </w:tcPr>
          <w:p w14:paraId="578FDC0F" w14:textId="77777777" w:rsidR="00A87068" w:rsidRPr="006C3195" w:rsidRDefault="00A87068" w:rsidP="004320D8">
            <w:pPr>
              <w:pStyle w:val="ListParagraph"/>
              <w:numPr>
                <w:ilvl w:val="0"/>
                <w:numId w:val="1"/>
              </w:numPr>
              <w:spacing w:after="0"/>
              <w:ind w:hanging="255"/>
              <w:jc w:val="right"/>
              <w:rPr>
                <w:b/>
                <w:bCs/>
                <w:highlight w:val="yellow"/>
              </w:rPr>
            </w:pPr>
            <w:bookmarkStart w:id="2" w:name="_Ref161218701"/>
          </w:p>
        </w:tc>
        <w:bookmarkEnd w:id="2"/>
        <w:tc>
          <w:tcPr>
            <w:tcW w:w="2906" w:type="dxa"/>
          </w:tcPr>
          <w:p w14:paraId="44FA066A" w14:textId="5DDEF94A" w:rsidR="00A87068" w:rsidRPr="00BB2506" w:rsidRDefault="00486E06" w:rsidP="0034593F">
            <w:r w:rsidRPr="00BB2506">
              <w:t xml:space="preserve">How do I know if a </w:t>
            </w:r>
            <w:r w:rsidR="00D7692E" w:rsidRPr="00BB2506">
              <w:t xml:space="preserve">product </w:t>
            </w:r>
            <w:r w:rsidRPr="00BB2506">
              <w:t>is a traditional medicine or a health supplement?</w:t>
            </w:r>
          </w:p>
        </w:tc>
        <w:tc>
          <w:tcPr>
            <w:tcW w:w="9993" w:type="dxa"/>
          </w:tcPr>
          <w:p w14:paraId="4A1C2949" w14:textId="7B91D670" w:rsidR="0020526B" w:rsidRPr="00BB2506" w:rsidRDefault="0041197F" w:rsidP="003C769B">
            <w:pPr>
              <w:numPr>
                <w:ilvl w:val="0"/>
                <w:numId w:val="5"/>
              </w:numPr>
              <w:spacing w:after="120"/>
              <w:ind w:left="383" w:hanging="279"/>
              <w:rPr>
                <w:lang w:val="en-US"/>
              </w:rPr>
            </w:pPr>
            <w:r w:rsidRPr="00BB2506">
              <w:rPr>
                <w:lang w:val="en-US"/>
              </w:rPr>
              <w:t>T</w:t>
            </w:r>
            <w:r w:rsidR="001752B3" w:rsidRPr="00BB2506">
              <w:rPr>
                <w:lang w:val="en-US"/>
              </w:rPr>
              <w:t xml:space="preserve">he </w:t>
            </w:r>
            <w:hyperlink r:id="rId17" w:history="1">
              <w:r w:rsidR="00CA7098" w:rsidRPr="00BB2506">
                <w:t>ASEAN Guidelines</w:t>
              </w:r>
            </w:hyperlink>
            <w:r w:rsidR="001752B3" w:rsidRPr="00BB2506">
              <w:rPr>
                <w:lang w:val="en-US"/>
              </w:rPr>
              <w:t xml:space="preserve"> </w:t>
            </w:r>
            <w:r w:rsidRPr="00BB2506">
              <w:rPr>
                <w:lang w:val="en-US"/>
              </w:rPr>
              <w:t xml:space="preserve">on traditional medicines and health supplements </w:t>
            </w:r>
            <w:r w:rsidR="0020526B" w:rsidRPr="00BB2506">
              <w:rPr>
                <w:lang w:val="en-US"/>
              </w:rPr>
              <w:t xml:space="preserve">provide the following definitions: </w:t>
            </w:r>
          </w:p>
          <w:p w14:paraId="607F32B1" w14:textId="39B15BDA" w:rsidR="00875F51" w:rsidRPr="00BB2506" w:rsidRDefault="00875F51" w:rsidP="000C1468">
            <w:pPr>
              <w:numPr>
                <w:ilvl w:val="0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>“</w:t>
            </w:r>
            <w:hyperlink r:id="rId18" w:history="1">
              <w:r w:rsidRPr="00BB2506">
                <w:rPr>
                  <w:rStyle w:val="Hyperlink"/>
                  <w:lang w:val="en-US"/>
                </w:rPr>
                <w:t>Traditional Medicines</w:t>
              </w:r>
            </w:hyperlink>
            <w:r w:rsidRPr="00BB2506">
              <w:rPr>
                <w:lang w:val="en-US"/>
              </w:rPr>
              <w:t>” means any medicinal product for human use consisting of active ingredients derived from natural sources (plants, animals and/or minerals) used in the system of traditional practice. It shall not include any sterile preparation, vaccines, any substance derived from human parts, any isolated and characterized chemical substances.</w:t>
            </w:r>
          </w:p>
          <w:p w14:paraId="0C70C1C6" w14:textId="7B4C9FB6" w:rsidR="00CA7098" w:rsidRPr="00BB2506" w:rsidRDefault="000F7940" w:rsidP="003C769B">
            <w:pPr>
              <w:numPr>
                <w:ilvl w:val="0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>“</w:t>
            </w:r>
            <w:hyperlink r:id="rId19" w:history="1">
              <w:r w:rsidRPr="00BB2506">
                <w:rPr>
                  <w:rStyle w:val="Hyperlink"/>
                  <w:lang w:val="en-US"/>
                </w:rPr>
                <w:t>Health Supplements</w:t>
              </w:r>
            </w:hyperlink>
            <w:r w:rsidRPr="00BB2506">
              <w:rPr>
                <w:lang w:val="en-US"/>
              </w:rPr>
              <w:t xml:space="preserve">” means any product that is used to supplement a diet and to maintain, enhance and improve the healthy function of human body and contains one or more, or a combination of the following:  </w:t>
            </w:r>
          </w:p>
          <w:p w14:paraId="74E4064F" w14:textId="3F10923C" w:rsidR="00CA7098" w:rsidRPr="00BB2506" w:rsidRDefault="000F7940" w:rsidP="003C769B">
            <w:pPr>
              <w:numPr>
                <w:ilvl w:val="1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Vitamins, minerals, amino acids, fatty acids, enzymes, probiotics and other bioactive substances  </w:t>
            </w:r>
          </w:p>
          <w:p w14:paraId="3B7E6E87" w14:textId="3D5559A3" w:rsidR="00CA7098" w:rsidRPr="00BB2506" w:rsidRDefault="000F7940" w:rsidP="003C769B">
            <w:pPr>
              <w:numPr>
                <w:ilvl w:val="1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Substances derived from natural sources, including animal, mineral and botanical materials in the forms of extracts, isolates, concentrates, metabolite </w:t>
            </w:r>
          </w:p>
          <w:p w14:paraId="2ED8A3FF" w14:textId="362CE72B" w:rsidR="000C1468" w:rsidRPr="00BB2506" w:rsidRDefault="000F7940" w:rsidP="003C769B">
            <w:pPr>
              <w:numPr>
                <w:ilvl w:val="1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Synthetic sources of ingredients mentioned in (a) and (b) </w:t>
            </w:r>
          </w:p>
          <w:p w14:paraId="284C67ED" w14:textId="49326861" w:rsidR="000C1468" w:rsidRPr="00BB2506" w:rsidRDefault="000C1468" w:rsidP="003C769B">
            <w:pPr>
              <w:numPr>
                <w:ilvl w:val="0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Route C is available for </w:t>
            </w:r>
            <w:r w:rsidR="006D7700" w:rsidRPr="00BB2506">
              <w:rPr>
                <w:lang w:val="en-US"/>
              </w:rPr>
              <w:t xml:space="preserve">solid </w:t>
            </w:r>
            <w:r w:rsidRPr="00BB2506">
              <w:rPr>
                <w:lang w:val="en-US"/>
              </w:rPr>
              <w:t xml:space="preserve">oral </w:t>
            </w:r>
            <w:r w:rsidR="002A0B0F" w:rsidRPr="00BB2506">
              <w:rPr>
                <w:lang w:val="en-US"/>
              </w:rPr>
              <w:t>dosage forms</w:t>
            </w:r>
            <w:r w:rsidRPr="00BB2506">
              <w:rPr>
                <w:lang w:val="en-US"/>
              </w:rPr>
              <w:t xml:space="preserve"> only</w:t>
            </w:r>
            <w:r w:rsidR="006D7700" w:rsidRPr="00BB2506">
              <w:rPr>
                <w:lang w:val="en-US"/>
              </w:rPr>
              <w:t xml:space="preserve"> (e.g. tablets and capsules)</w:t>
            </w:r>
            <w:r w:rsidRPr="00BB2506">
              <w:rPr>
                <w:lang w:val="en-US"/>
              </w:rPr>
              <w:t xml:space="preserve">. </w:t>
            </w:r>
            <w:r w:rsidR="006D7700" w:rsidRPr="00BB2506">
              <w:rPr>
                <w:lang w:val="en-US"/>
              </w:rPr>
              <w:t>Other dosage forms, and s</w:t>
            </w:r>
            <w:r w:rsidRPr="00BB2506">
              <w:rPr>
                <w:lang w:val="en-US"/>
              </w:rPr>
              <w:t xml:space="preserve">terile preparations such as injections and eye drops must </w:t>
            </w:r>
            <w:r w:rsidR="00DF744F" w:rsidRPr="00BB2506">
              <w:rPr>
                <w:lang w:val="en-US"/>
              </w:rPr>
              <w:t>be submitted to DNFM</w:t>
            </w:r>
            <w:r w:rsidRPr="00BB2506">
              <w:rPr>
                <w:lang w:val="en-US"/>
              </w:rPr>
              <w:t xml:space="preserve"> via the pharmaceutical product application routes A or B.</w:t>
            </w:r>
          </w:p>
          <w:p w14:paraId="27FE9D82" w14:textId="60523AEF" w:rsidR="00DE4BD6" w:rsidRPr="00BB2506" w:rsidRDefault="00C855EB" w:rsidP="000C1468">
            <w:pPr>
              <w:numPr>
                <w:ilvl w:val="0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Health supplements and traditional medicines must not contain </w:t>
            </w:r>
            <w:r w:rsidR="00305A76" w:rsidRPr="00BB2506">
              <w:rPr>
                <w:lang w:val="en-US"/>
              </w:rPr>
              <w:t xml:space="preserve">any pharmaceutical ingredients, such as steroids. </w:t>
            </w:r>
            <w:r w:rsidR="00DD1B39" w:rsidRPr="00BB2506">
              <w:rPr>
                <w:lang w:val="en-US"/>
              </w:rPr>
              <w:t>Information on the use of additives and excipients</w:t>
            </w:r>
            <w:r w:rsidR="00E03514" w:rsidRPr="00BB2506">
              <w:rPr>
                <w:lang w:val="en-US"/>
              </w:rPr>
              <w:t xml:space="preserve">, and their </w:t>
            </w:r>
            <w:r w:rsidR="00D54340" w:rsidRPr="00BB2506">
              <w:rPr>
                <w:lang w:val="en-US"/>
              </w:rPr>
              <w:t>maximum use levels</w:t>
            </w:r>
            <w:r w:rsidR="003C71A1" w:rsidRPr="00BB2506">
              <w:rPr>
                <w:lang w:val="en-US"/>
              </w:rPr>
              <w:t>,</w:t>
            </w:r>
            <w:r w:rsidR="00DD1B39" w:rsidRPr="00BB2506">
              <w:rPr>
                <w:lang w:val="en-US"/>
              </w:rPr>
              <w:t xml:space="preserve"> can be found in ASEAN guidelines on</w:t>
            </w:r>
            <w:r w:rsidR="00D54340" w:rsidRPr="00BB2506">
              <w:rPr>
                <w:lang w:val="en-US"/>
              </w:rPr>
              <w:t xml:space="preserve"> </w:t>
            </w:r>
            <w:hyperlink r:id="rId20" w:history="1">
              <w:r w:rsidR="00D54340" w:rsidRPr="00BB2506">
                <w:rPr>
                  <w:rStyle w:val="Hyperlink"/>
                  <w:lang w:val="en-US"/>
                </w:rPr>
                <w:t>traditional medicines</w:t>
              </w:r>
            </w:hyperlink>
            <w:r w:rsidR="00D54340" w:rsidRPr="00BB2506">
              <w:rPr>
                <w:lang w:val="en-US"/>
              </w:rPr>
              <w:t xml:space="preserve"> and</w:t>
            </w:r>
            <w:r w:rsidR="00DD1B39" w:rsidRPr="00BB2506">
              <w:rPr>
                <w:lang w:val="en-US"/>
              </w:rPr>
              <w:t xml:space="preserve"> </w:t>
            </w:r>
            <w:hyperlink r:id="rId21" w:history="1">
              <w:r w:rsidR="00DD1B39" w:rsidRPr="00BB2506">
                <w:rPr>
                  <w:rStyle w:val="Hyperlink"/>
                  <w:lang w:val="en-US"/>
                </w:rPr>
                <w:t>health supplements</w:t>
              </w:r>
            </w:hyperlink>
            <w:r w:rsidR="00DD1B39" w:rsidRPr="00BB2506">
              <w:rPr>
                <w:lang w:val="en-US"/>
              </w:rPr>
              <w:t>.</w:t>
            </w:r>
          </w:p>
          <w:p w14:paraId="5BD2B706" w14:textId="1CD27402" w:rsidR="000C1468" w:rsidRPr="00BB2506" w:rsidRDefault="000C1468" w:rsidP="003C769B">
            <w:pPr>
              <w:pStyle w:val="ListParagraph"/>
              <w:numPr>
                <w:ilvl w:val="0"/>
                <w:numId w:val="5"/>
              </w:numPr>
            </w:pPr>
            <w:r w:rsidRPr="00BB2506">
              <w:t xml:space="preserve">Health supplements should not claim or suggest treatment or prevention of any disease, disorder or their related conditions. Traditional medicines </w:t>
            </w:r>
            <w:r w:rsidR="009D0179" w:rsidRPr="00BB2506">
              <w:t>may</w:t>
            </w:r>
            <w:r w:rsidRPr="00BB2506">
              <w:t xml:space="preserve"> claim to promote the maintenance of health, to relieve symptoms, or prevent or treat a disease, disorder or medical condition in the context of the respective traditional medicine principles and theories</w:t>
            </w:r>
            <w:r w:rsidR="009D0179" w:rsidRPr="00BB2506">
              <w:t xml:space="preserve"> only</w:t>
            </w:r>
            <w:r w:rsidRPr="00BB2506">
              <w:t xml:space="preserve">. </w:t>
            </w:r>
          </w:p>
          <w:p w14:paraId="46D4D79D" w14:textId="19B7CB2E" w:rsidR="00185491" w:rsidRPr="00BB2506" w:rsidRDefault="00545F94" w:rsidP="000C1468">
            <w:pPr>
              <w:numPr>
                <w:ilvl w:val="0"/>
                <w:numId w:val="5"/>
              </w:numPr>
              <w:spacing w:after="120"/>
              <w:rPr>
                <w:lang w:val="en-US"/>
              </w:rPr>
            </w:pPr>
            <w:r w:rsidRPr="00BB2506">
              <w:rPr>
                <w:lang w:val="en-US"/>
              </w:rPr>
              <w:t xml:space="preserve">If </w:t>
            </w:r>
            <w:r w:rsidR="00640ABB" w:rsidRPr="00BB2506">
              <w:rPr>
                <w:lang w:val="en-US"/>
              </w:rPr>
              <w:t>you are still unsure</w:t>
            </w:r>
            <w:r w:rsidR="00FB4A5E" w:rsidRPr="00BB2506">
              <w:rPr>
                <w:lang w:val="en-US"/>
              </w:rPr>
              <w:t xml:space="preserve"> </w:t>
            </w:r>
            <w:r w:rsidR="00A82BDD" w:rsidRPr="00BB2506">
              <w:rPr>
                <w:lang w:val="en-US"/>
              </w:rPr>
              <w:t xml:space="preserve">whether </w:t>
            </w:r>
            <w:r w:rsidR="00746CCE" w:rsidRPr="00BB2506">
              <w:rPr>
                <w:lang w:val="en-US"/>
              </w:rPr>
              <w:t>your</w:t>
            </w:r>
            <w:r w:rsidR="00A82BDD" w:rsidRPr="00BB2506">
              <w:rPr>
                <w:lang w:val="en-US"/>
              </w:rPr>
              <w:t xml:space="preserve"> product </w:t>
            </w:r>
            <w:r w:rsidR="00FB4A5E" w:rsidRPr="00BB2506">
              <w:rPr>
                <w:lang w:val="en-US"/>
              </w:rPr>
              <w:t xml:space="preserve">is </w:t>
            </w:r>
            <w:r w:rsidR="00746CCE" w:rsidRPr="00BB2506">
              <w:rPr>
                <w:lang w:val="en-US"/>
              </w:rPr>
              <w:t>a</w:t>
            </w:r>
            <w:r w:rsidR="00A82BDD" w:rsidRPr="00BB2506">
              <w:rPr>
                <w:lang w:val="en-US"/>
              </w:rPr>
              <w:t xml:space="preserve"> </w:t>
            </w:r>
            <w:r w:rsidR="00A82BDD" w:rsidRPr="00BB2506">
              <w:t xml:space="preserve">pharmaceutical product, or a traditional medicine or a health supplement, you should </w:t>
            </w:r>
            <w:r w:rsidR="00707D3B" w:rsidRPr="00BB2506">
              <w:t>first consult</w:t>
            </w:r>
            <w:r w:rsidR="00A82BDD" w:rsidRPr="00BB2506">
              <w:t xml:space="preserve"> </w:t>
            </w:r>
            <w:hyperlink r:id="rId22" w:history="1">
              <w:r w:rsidR="00707D3B" w:rsidRPr="00BB2506">
                <w:rPr>
                  <w:rStyle w:val="Hyperlink"/>
                </w:rPr>
                <w:t>ASEAN guideline</w:t>
              </w:r>
              <w:r w:rsidR="00260580" w:rsidRPr="00BB2506">
                <w:rPr>
                  <w:rStyle w:val="Hyperlink"/>
                </w:rPr>
                <w:t>s for Health Supplements and Traditional Medicine</w:t>
              </w:r>
              <w:r w:rsidR="00707D3B" w:rsidRPr="00BB2506">
                <w:rPr>
                  <w:rStyle w:val="Hyperlink"/>
                </w:rPr>
                <w:t>s</w:t>
              </w:r>
            </w:hyperlink>
            <w:r w:rsidR="001E3983" w:rsidRPr="00BB2506">
              <w:t xml:space="preserve"> (</w:t>
            </w:r>
            <w:r w:rsidR="0063657B" w:rsidRPr="00BB2506">
              <w:t xml:space="preserve">Policy &amp; Guidelines </w:t>
            </w:r>
            <w:r w:rsidR="001E3983" w:rsidRPr="00BB2506">
              <w:t>Section 11)</w:t>
            </w:r>
            <w:r w:rsidR="00707D3B" w:rsidRPr="00BB2506">
              <w:t xml:space="preserve">. </w:t>
            </w:r>
            <w:r w:rsidR="00DC609E" w:rsidRPr="00BB2506">
              <w:rPr>
                <w:lang w:val="en-US"/>
              </w:rPr>
              <w:t>You can also contact DNFM (</w:t>
            </w:r>
            <w:hyperlink r:id="rId23" w:history="1">
              <w:r w:rsidR="00DC609E" w:rsidRPr="00BB2506">
                <w:rPr>
                  <w:rStyle w:val="Hyperlink"/>
                  <w:lang w:val="en-US"/>
                </w:rPr>
                <w:t>daim010920@gmail.com</w:t>
              </w:r>
            </w:hyperlink>
            <w:r w:rsidR="00DC609E" w:rsidRPr="00BB2506">
              <w:rPr>
                <w:lang w:val="en-US"/>
              </w:rPr>
              <w:t xml:space="preserve">) to request further advice. </w:t>
            </w:r>
          </w:p>
        </w:tc>
      </w:tr>
    </w:tbl>
    <w:p w14:paraId="1377935A" w14:textId="77777777" w:rsidR="00EF5725" w:rsidRPr="00EF5725" w:rsidRDefault="00EF5725" w:rsidP="00EF5725"/>
    <w:sectPr w:rsidR="00EF5725" w:rsidRPr="00EF5725" w:rsidSect="00AD6AD8">
      <w:footerReference w:type="default" r:id="rId24"/>
      <w:pgSz w:w="16838" w:h="11906" w:orient="landscape"/>
      <w:pgMar w:top="851" w:right="1440" w:bottom="99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F055" w14:textId="77777777" w:rsidR="007730E9" w:rsidRDefault="007730E9" w:rsidP="003F12E3">
      <w:pPr>
        <w:spacing w:after="0" w:line="240" w:lineRule="auto"/>
      </w:pPr>
      <w:r>
        <w:separator/>
      </w:r>
    </w:p>
  </w:endnote>
  <w:endnote w:type="continuationSeparator" w:id="0">
    <w:p w14:paraId="7AD69AFE" w14:textId="77777777" w:rsidR="007730E9" w:rsidRDefault="007730E9" w:rsidP="003F12E3">
      <w:pPr>
        <w:spacing w:after="0" w:line="240" w:lineRule="auto"/>
      </w:pPr>
      <w:r>
        <w:continuationSeparator/>
      </w:r>
    </w:p>
  </w:endnote>
  <w:endnote w:type="continuationNotice" w:id="1">
    <w:p w14:paraId="5700CDBA" w14:textId="77777777" w:rsidR="007730E9" w:rsidRDefault="00773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6416" w14:textId="77777777" w:rsidR="003F12E3" w:rsidRDefault="003F12E3">
    <w:pPr>
      <w:pStyle w:val="Footer"/>
    </w:pPr>
  </w:p>
  <w:p w14:paraId="0E4CAB8D" w14:textId="1EFC72D7" w:rsidR="003F12E3" w:rsidRPr="00B87E3C" w:rsidRDefault="003F12E3">
    <w:pPr>
      <w:pStyle w:val="Footer"/>
      <w:rPr>
        <w:color w:val="BFBFBF" w:themeColor="background1" w:themeShade="BF"/>
      </w:rPr>
    </w:pPr>
    <w:r w:rsidRPr="003C769B">
      <w:rPr>
        <w:color w:val="BFBFBF" w:themeColor="background1" w:themeShade="BF"/>
      </w:rPr>
      <w:t xml:space="preserve">Version </w:t>
    </w:r>
    <w:r w:rsidR="001230A0" w:rsidRPr="003C769B">
      <w:rPr>
        <w:color w:val="BFBFBF" w:themeColor="background1" w:themeShade="BF"/>
      </w:rPr>
      <w:t>3.0</w:t>
    </w:r>
    <w:r w:rsidRPr="003C769B">
      <w:rPr>
        <w:color w:val="BFBFBF" w:themeColor="background1" w:themeShade="BF"/>
      </w:rPr>
      <w:t xml:space="preserve"> –</w:t>
    </w:r>
    <w:r w:rsidR="001230A0" w:rsidRPr="003C769B">
      <w:rPr>
        <w:color w:val="BFBFBF" w:themeColor="background1" w:themeShade="BF"/>
      </w:rPr>
      <w:t xml:space="preserve"> </w:t>
    </w:r>
    <w:r w:rsidR="003C769B" w:rsidRPr="003C769B">
      <w:rPr>
        <w:color w:val="BFBFBF" w:themeColor="background1" w:themeShade="BF"/>
      </w:rPr>
      <w:t>May</w:t>
    </w:r>
    <w:r w:rsidR="001230A0" w:rsidRPr="003C769B">
      <w:rPr>
        <w:color w:val="BFBFBF" w:themeColor="background1" w:themeShade="BF"/>
      </w:rPr>
      <w:t xml:space="preserve"> </w:t>
    </w:r>
    <w:r w:rsidRPr="003C769B">
      <w:rPr>
        <w:color w:val="BFBFBF" w:themeColor="background1" w:themeShade="BF"/>
      </w:rPr>
      <w:t>202</w:t>
    </w:r>
    <w:r w:rsidR="0052054E" w:rsidRPr="003C769B">
      <w:rPr>
        <w:color w:val="BFBFBF" w:themeColor="background1" w:themeShade="BF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DAD47" w14:textId="77777777" w:rsidR="007730E9" w:rsidRDefault="007730E9" w:rsidP="003F12E3">
      <w:pPr>
        <w:spacing w:after="0" w:line="240" w:lineRule="auto"/>
      </w:pPr>
      <w:r>
        <w:separator/>
      </w:r>
    </w:p>
  </w:footnote>
  <w:footnote w:type="continuationSeparator" w:id="0">
    <w:p w14:paraId="36FA5DB6" w14:textId="77777777" w:rsidR="007730E9" w:rsidRDefault="007730E9" w:rsidP="003F12E3">
      <w:pPr>
        <w:spacing w:after="0" w:line="240" w:lineRule="auto"/>
      </w:pPr>
      <w:r>
        <w:continuationSeparator/>
      </w:r>
    </w:p>
  </w:footnote>
  <w:footnote w:type="continuationNotice" w:id="1">
    <w:p w14:paraId="4EF18F53" w14:textId="77777777" w:rsidR="007730E9" w:rsidRDefault="00773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628"/>
    <w:multiLevelType w:val="hybridMultilevel"/>
    <w:tmpl w:val="151E8630"/>
    <w:lvl w:ilvl="0" w:tplc="E47E6D12">
      <w:start w:val="1"/>
      <w:numFmt w:val="decimal"/>
      <w:lvlText w:val="Question %1."/>
      <w:lvlJc w:val="right"/>
      <w:pPr>
        <w:ind w:left="17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54" w:hanging="360"/>
      </w:pPr>
    </w:lvl>
    <w:lvl w:ilvl="2" w:tplc="0C09001B" w:tentative="1">
      <w:start w:val="1"/>
      <w:numFmt w:val="lowerRoman"/>
      <w:lvlText w:val="%3."/>
      <w:lvlJc w:val="right"/>
      <w:pPr>
        <w:ind w:left="3174" w:hanging="180"/>
      </w:pPr>
    </w:lvl>
    <w:lvl w:ilvl="3" w:tplc="0C09000F" w:tentative="1">
      <w:start w:val="1"/>
      <w:numFmt w:val="decimal"/>
      <w:lvlText w:val="%4."/>
      <w:lvlJc w:val="left"/>
      <w:pPr>
        <w:ind w:left="3894" w:hanging="360"/>
      </w:pPr>
    </w:lvl>
    <w:lvl w:ilvl="4" w:tplc="0C090019" w:tentative="1">
      <w:start w:val="1"/>
      <w:numFmt w:val="lowerLetter"/>
      <w:lvlText w:val="%5."/>
      <w:lvlJc w:val="left"/>
      <w:pPr>
        <w:ind w:left="4614" w:hanging="360"/>
      </w:pPr>
    </w:lvl>
    <w:lvl w:ilvl="5" w:tplc="0C09001B" w:tentative="1">
      <w:start w:val="1"/>
      <w:numFmt w:val="lowerRoman"/>
      <w:lvlText w:val="%6."/>
      <w:lvlJc w:val="right"/>
      <w:pPr>
        <w:ind w:left="5334" w:hanging="180"/>
      </w:pPr>
    </w:lvl>
    <w:lvl w:ilvl="6" w:tplc="0C09000F" w:tentative="1">
      <w:start w:val="1"/>
      <w:numFmt w:val="decimal"/>
      <w:lvlText w:val="%7."/>
      <w:lvlJc w:val="left"/>
      <w:pPr>
        <w:ind w:left="6054" w:hanging="360"/>
      </w:pPr>
    </w:lvl>
    <w:lvl w:ilvl="7" w:tplc="0C090019" w:tentative="1">
      <w:start w:val="1"/>
      <w:numFmt w:val="lowerLetter"/>
      <w:lvlText w:val="%8."/>
      <w:lvlJc w:val="left"/>
      <w:pPr>
        <w:ind w:left="6774" w:hanging="360"/>
      </w:pPr>
    </w:lvl>
    <w:lvl w:ilvl="8" w:tplc="0C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" w15:restartNumberingAfterBreak="0">
    <w:nsid w:val="071B4384"/>
    <w:multiLevelType w:val="hybridMultilevel"/>
    <w:tmpl w:val="67D249A8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6A3673"/>
    <w:multiLevelType w:val="hybridMultilevel"/>
    <w:tmpl w:val="4DDC75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17BD1"/>
    <w:multiLevelType w:val="hybridMultilevel"/>
    <w:tmpl w:val="60C839A4"/>
    <w:lvl w:ilvl="0" w:tplc="E47E6D12">
      <w:start w:val="1"/>
      <w:numFmt w:val="decimal"/>
      <w:lvlText w:val="Question 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C25D1"/>
    <w:multiLevelType w:val="hybridMultilevel"/>
    <w:tmpl w:val="FCBE8E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73D47"/>
    <w:multiLevelType w:val="hybridMultilevel"/>
    <w:tmpl w:val="20CA45EE"/>
    <w:lvl w:ilvl="0" w:tplc="0C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3AC83F80"/>
    <w:multiLevelType w:val="hybridMultilevel"/>
    <w:tmpl w:val="E072145C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D31507"/>
    <w:multiLevelType w:val="hybridMultilevel"/>
    <w:tmpl w:val="00BC8534"/>
    <w:lvl w:ilvl="0" w:tplc="9ADC6F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246A4"/>
    <w:multiLevelType w:val="hybridMultilevel"/>
    <w:tmpl w:val="716EFE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C34FA"/>
    <w:multiLevelType w:val="hybridMultilevel"/>
    <w:tmpl w:val="D1C07226"/>
    <w:lvl w:ilvl="0" w:tplc="0C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E3208D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5BCCFFE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73D2A28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EC981D3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31B695D8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1FE88CAE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63341DD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FB4E01"/>
    <w:multiLevelType w:val="hybridMultilevel"/>
    <w:tmpl w:val="DE68FA30"/>
    <w:lvl w:ilvl="0" w:tplc="1EC4875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886725F"/>
    <w:multiLevelType w:val="hybridMultilevel"/>
    <w:tmpl w:val="F2C6569C"/>
    <w:lvl w:ilvl="0" w:tplc="1EC4875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04B5C"/>
    <w:multiLevelType w:val="hybridMultilevel"/>
    <w:tmpl w:val="B6C2B7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25"/>
    <w:rsid w:val="000463CC"/>
    <w:rsid w:val="00064C35"/>
    <w:rsid w:val="000764B5"/>
    <w:rsid w:val="00080CDB"/>
    <w:rsid w:val="00081280"/>
    <w:rsid w:val="000961E5"/>
    <w:rsid w:val="000B66A0"/>
    <w:rsid w:val="000C1468"/>
    <w:rsid w:val="000E38C2"/>
    <w:rsid w:val="000E639D"/>
    <w:rsid w:val="000F3DA9"/>
    <w:rsid w:val="000F600E"/>
    <w:rsid w:val="000F7940"/>
    <w:rsid w:val="0010102C"/>
    <w:rsid w:val="001022BE"/>
    <w:rsid w:val="001125A5"/>
    <w:rsid w:val="001230A0"/>
    <w:rsid w:val="001256E6"/>
    <w:rsid w:val="00130AD8"/>
    <w:rsid w:val="00135342"/>
    <w:rsid w:val="00136A4F"/>
    <w:rsid w:val="00145D86"/>
    <w:rsid w:val="00155ECB"/>
    <w:rsid w:val="00166A30"/>
    <w:rsid w:val="001752B3"/>
    <w:rsid w:val="00180056"/>
    <w:rsid w:val="0018440B"/>
    <w:rsid w:val="001849D7"/>
    <w:rsid w:val="00185491"/>
    <w:rsid w:val="0019165A"/>
    <w:rsid w:val="001951A0"/>
    <w:rsid w:val="001E3983"/>
    <w:rsid w:val="002024C4"/>
    <w:rsid w:val="0020526B"/>
    <w:rsid w:val="00216B78"/>
    <w:rsid w:val="00224E34"/>
    <w:rsid w:val="0024460E"/>
    <w:rsid w:val="002451EA"/>
    <w:rsid w:val="00256353"/>
    <w:rsid w:val="00260580"/>
    <w:rsid w:val="00280E4F"/>
    <w:rsid w:val="00291A96"/>
    <w:rsid w:val="00292084"/>
    <w:rsid w:val="002A0B0F"/>
    <w:rsid w:val="002A79B1"/>
    <w:rsid w:val="00305A76"/>
    <w:rsid w:val="00313B2D"/>
    <w:rsid w:val="00317672"/>
    <w:rsid w:val="00337A75"/>
    <w:rsid w:val="003414DD"/>
    <w:rsid w:val="0034593F"/>
    <w:rsid w:val="00352179"/>
    <w:rsid w:val="00370207"/>
    <w:rsid w:val="003714E2"/>
    <w:rsid w:val="00384A08"/>
    <w:rsid w:val="00384F5D"/>
    <w:rsid w:val="003B22DB"/>
    <w:rsid w:val="003C71A1"/>
    <w:rsid w:val="003C769B"/>
    <w:rsid w:val="003F12E3"/>
    <w:rsid w:val="003F6880"/>
    <w:rsid w:val="0041197F"/>
    <w:rsid w:val="004307AD"/>
    <w:rsid w:val="004320D8"/>
    <w:rsid w:val="00433267"/>
    <w:rsid w:val="004507A8"/>
    <w:rsid w:val="00476236"/>
    <w:rsid w:val="0048252B"/>
    <w:rsid w:val="00486E06"/>
    <w:rsid w:val="004B105E"/>
    <w:rsid w:val="004B2FF4"/>
    <w:rsid w:val="004B6290"/>
    <w:rsid w:val="004E41BB"/>
    <w:rsid w:val="0052054E"/>
    <w:rsid w:val="0052649E"/>
    <w:rsid w:val="00527E1A"/>
    <w:rsid w:val="00545F94"/>
    <w:rsid w:val="00555A5D"/>
    <w:rsid w:val="0055710F"/>
    <w:rsid w:val="0056636E"/>
    <w:rsid w:val="005665FC"/>
    <w:rsid w:val="00575265"/>
    <w:rsid w:val="00584060"/>
    <w:rsid w:val="005841E3"/>
    <w:rsid w:val="00596E39"/>
    <w:rsid w:val="005A6B79"/>
    <w:rsid w:val="005B12F2"/>
    <w:rsid w:val="005B6ABF"/>
    <w:rsid w:val="005E09AC"/>
    <w:rsid w:val="005F2CE1"/>
    <w:rsid w:val="005F6FD0"/>
    <w:rsid w:val="00635926"/>
    <w:rsid w:val="0063657B"/>
    <w:rsid w:val="00640ABB"/>
    <w:rsid w:val="00647818"/>
    <w:rsid w:val="0064792B"/>
    <w:rsid w:val="00671ABF"/>
    <w:rsid w:val="00681809"/>
    <w:rsid w:val="00685D35"/>
    <w:rsid w:val="006933AC"/>
    <w:rsid w:val="006A005A"/>
    <w:rsid w:val="006B4430"/>
    <w:rsid w:val="006C3195"/>
    <w:rsid w:val="006D3992"/>
    <w:rsid w:val="006D544F"/>
    <w:rsid w:val="006D69D2"/>
    <w:rsid w:val="006D7700"/>
    <w:rsid w:val="006E3CD4"/>
    <w:rsid w:val="0070414F"/>
    <w:rsid w:val="00707D3B"/>
    <w:rsid w:val="00716B09"/>
    <w:rsid w:val="007224B3"/>
    <w:rsid w:val="00726A11"/>
    <w:rsid w:val="00737C7A"/>
    <w:rsid w:val="00744569"/>
    <w:rsid w:val="00746CCE"/>
    <w:rsid w:val="007504EC"/>
    <w:rsid w:val="00752369"/>
    <w:rsid w:val="00760D8B"/>
    <w:rsid w:val="007730E9"/>
    <w:rsid w:val="007971EA"/>
    <w:rsid w:val="007A36AC"/>
    <w:rsid w:val="007C2429"/>
    <w:rsid w:val="007C7973"/>
    <w:rsid w:val="007D66B3"/>
    <w:rsid w:val="007F206F"/>
    <w:rsid w:val="007F6F98"/>
    <w:rsid w:val="00815F7F"/>
    <w:rsid w:val="00817B11"/>
    <w:rsid w:val="00824513"/>
    <w:rsid w:val="00827B0D"/>
    <w:rsid w:val="00833132"/>
    <w:rsid w:val="00834346"/>
    <w:rsid w:val="00862740"/>
    <w:rsid w:val="00865367"/>
    <w:rsid w:val="00875F51"/>
    <w:rsid w:val="00892D00"/>
    <w:rsid w:val="008941D8"/>
    <w:rsid w:val="00895250"/>
    <w:rsid w:val="008A5709"/>
    <w:rsid w:val="008B17F3"/>
    <w:rsid w:val="008B6CF8"/>
    <w:rsid w:val="008C1220"/>
    <w:rsid w:val="008C5ED3"/>
    <w:rsid w:val="008C7016"/>
    <w:rsid w:val="008D5A3F"/>
    <w:rsid w:val="008D5C8B"/>
    <w:rsid w:val="008F1BBB"/>
    <w:rsid w:val="008F5242"/>
    <w:rsid w:val="009005F5"/>
    <w:rsid w:val="009055B8"/>
    <w:rsid w:val="009370CF"/>
    <w:rsid w:val="00940891"/>
    <w:rsid w:val="00972612"/>
    <w:rsid w:val="00972C9C"/>
    <w:rsid w:val="00984808"/>
    <w:rsid w:val="009907CE"/>
    <w:rsid w:val="00992912"/>
    <w:rsid w:val="009B6BE9"/>
    <w:rsid w:val="009C051B"/>
    <w:rsid w:val="009D0179"/>
    <w:rsid w:val="009D111A"/>
    <w:rsid w:val="009D7859"/>
    <w:rsid w:val="009E0247"/>
    <w:rsid w:val="009E1760"/>
    <w:rsid w:val="009E4865"/>
    <w:rsid w:val="009E69BA"/>
    <w:rsid w:val="009F1B3D"/>
    <w:rsid w:val="00A07ED0"/>
    <w:rsid w:val="00A14854"/>
    <w:rsid w:val="00A239BF"/>
    <w:rsid w:val="00A44186"/>
    <w:rsid w:val="00A506ED"/>
    <w:rsid w:val="00A71D86"/>
    <w:rsid w:val="00A82BDD"/>
    <w:rsid w:val="00A87068"/>
    <w:rsid w:val="00A961A4"/>
    <w:rsid w:val="00AA2691"/>
    <w:rsid w:val="00AC1EDC"/>
    <w:rsid w:val="00AC2EFC"/>
    <w:rsid w:val="00AC58BA"/>
    <w:rsid w:val="00AC7997"/>
    <w:rsid w:val="00AD6AD8"/>
    <w:rsid w:val="00AE356D"/>
    <w:rsid w:val="00AF63FE"/>
    <w:rsid w:val="00B20657"/>
    <w:rsid w:val="00B21FAC"/>
    <w:rsid w:val="00B3540E"/>
    <w:rsid w:val="00B405DD"/>
    <w:rsid w:val="00B45660"/>
    <w:rsid w:val="00B67FD2"/>
    <w:rsid w:val="00B87E3C"/>
    <w:rsid w:val="00BB2506"/>
    <w:rsid w:val="00BB5C19"/>
    <w:rsid w:val="00BE1303"/>
    <w:rsid w:val="00BF2B99"/>
    <w:rsid w:val="00C15CC7"/>
    <w:rsid w:val="00C17A53"/>
    <w:rsid w:val="00C33140"/>
    <w:rsid w:val="00C4291E"/>
    <w:rsid w:val="00C46D50"/>
    <w:rsid w:val="00C855EB"/>
    <w:rsid w:val="00C979C3"/>
    <w:rsid w:val="00CA7098"/>
    <w:rsid w:val="00CA75E2"/>
    <w:rsid w:val="00CC293D"/>
    <w:rsid w:val="00CF2A0F"/>
    <w:rsid w:val="00CF2D98"/>
    <w:rsid w:val="00D23DF3"/>
    <w:rsid w:val="00D26DF0"/>
    <w:rsid w:val="00D33D56"/>
    <w:rsid w:val="00D37783"/>
    <w:rsid w:val="00D379AA"/>
    <w:rsid w:val="00D41E34"/>
    <w:rsid w:val="00D54340"/>
    <w:rsid w:val="00D567F1"/>
    <w:rsid w:val="00D623B0"/>
    <w:rsid w:val="00D667F4"/>
    <w:rsid w:val="00D7116C"/>
    <w:rsid w:val="00D7692E"/>
    <w:rsid w:val="00D90122"/>
    <w:rsid w:val="00DB3976"/>
    <w:rsid w:val="00DC609E"/>
    <w:rsid w:val="00DD019F"/>
    <w:rsid w:val="00DD1B39"/>
    <w:rsid w:val="00DD1BCA"/>
    <w:rsid w:val="00DD2B81"/>
    <w:rsid w:val="00DE4898"/>
    <w:rsid w:val="00DE4BD6"/>
    <w:rsid w:val="00DF1018"/>
    <w:rsid w:val="00DF1B0E"/>
    <w:rsid w:val="00DF744F"/>
    <w:rsid w:val="00E03514"/>
    <w:rsid w:val="00E147FC"/>
    <w:rsid w:val="00E3159E"/>
    <w:rsid w:val="00E3724C"/>
    <w:rsid w:val="00E57816"/>
    <w:rsid w:val="00E60774"/>
    <w:rsid w:val="00E77B5A"/>
    <w:rsid w:val="00E84B4A"/>
    <w:rsid w:val="00E947BF"/>
    <w:rsid w:val="00EA4A48"/>
    <w:rsid w:val="00EA5354"/>
    <w:rsid w:val="00EB1AC2"/>
    <w:rsid w:val="00EB5619"/>
    <w:rsid w:val="00EC13DA"/>
    <w:rsid w:val="00EE5C03"/>
    <w:rsid w:val="00EE666A"/>
    <w:rsid w:val="00EF2D3E"/>
    <w:rsid w:val="00EF55D6"/>
    <w:rsid w:val="00EF5725"/>
    <w:rsid w:val="00F306AF"/>
    <w:rsid w:val="00F41316"/>
    <w:rsid w:val="00F53A4A"/>
    <w:rsid w:val="00F664D1"/>
    <w:rsid w:val="00F77DF0"/>
    <w:rsid w:val="00FA4383"/>
    <w:rsid w:val="00FB4A5E"/>
    <w:rsid w:val="00FB70C6"/>
    <w:rsid w:val="00FC2213"/>
    <w:rsid w:val="520B2D5D"/>
    <w:rsid w:val="5F1BD226"/>
    <w:rsid w:val="7981D7F0"/>
    <w:rsid w:val="7A61666B"/>
    <w:rsid w:val="7C5C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26FF"/>
  <w15:chartTrackingRefBased/>
  <w15:docId w15:val="{7C561C32-DF63-4BE5-8605-7AB40999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93F"/>
    <w:pPr>
      <w:numPr>
        <w:numId w:val="4"/>
      </w:numPr>
      <w:spacing w:after="120" w:line="240" w:lineRule="auto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725"/>
    <w:pPr>
      <w:widowControl w:val="0"/>
      <w:autoSpaceDE w:val="0"/>
      <w:autoSpaceDN w:val="0"/>
      <w:spacing w:after="0" w:line="240" w:lineRule="auto"/>
      <w:ind w:left="100" w:right="38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72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7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72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A9"/>
    <w:pPr>
      <w:widowControl/>
      <w:autoSpaceDE/>
      <w:autoSpaceDN/>
      <w:spacing w:after="160"/>
      <w:ind w:left="0" w:right="0"/>
      <w:jc w:val="left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A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D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1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E3"/>
  </w:style>
  <w:style w:type="paragraph" w:styleId="Footer">
    <w:name w:val="footer"/>
    <w:basedOn w:val="Normal"/>
    <w:link w:val="FooterChar"/>
    <w:uiPriority w:val="99"/>
    <w:unhideWhenUsed/>
    <w:rsid w:val="003F1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E3"/>
  </w:style>
  <w:style w:type="character" w:styleId="FollowedHyperlink">
    <w:name w:val="FollowedHyperlink"/>
    <w:basedOn w:val="DefaultParagraphFont"/>
    <w:uiPriority w:val="99"/>
    <w:semiHidden/>
    <w:unhideWhenUsed/>
    <w:rsid w:val="000F6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ean.org/wp-content/uploads/2018/01/25PPWG-ANNEX-7-iv-Final-ASEAN-Guideline-on-Stability-Study-Drug-Product-R2.pdf" TargetMode="External"/><Relationship Id="rId18" Type="http://schemas.openxmlformats.org/officeDocument/2006/relationships/hyperlink" Target="https://asean.org/wp-content/uploads/2017/09/ASEAN-Guidelines-on-Labelling-Req.-for-TM-2-Oct-2015-rev-with-discla...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sean.org/wp-content/uploads/2017/09/ASEAN-Guiding-Principles-for-Additives-Excipients-HS-V3.0-with-discl...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im010920@gmail.com" TargetMode="External"/><Relationship Id="rId17" Type="http://schemas.openxmlformats.org/officeDocument/2006/relationships/hyperlink" Target="https://asean.org/wp-content/uploads/2017/09/ASEAN-Guidelines-on-Labelling-Req.-for-HS-2-Oct-2015-rev-with-discla...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ms.gov.tl/dnfm/dept.php?lan=tet" TargetMode="External"/><Relationship Id="rId20" Type="http://schemas.openxmlformats.org/officeDocument/2006/relationships/hyperlink" Target="https://asean.org/wp-content/uploads/2017/09/ASEAN-Guiding-Principles-for-Additives-Excipients-TM-V3.0-with-discl...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ms.gov.tl/dnfm/dept.php?lan=te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sean.org/book/asean-common-technical-dossier/" TargetMode="External"/><Relationship Id="rId23" Type="http://schemas.openxmlformats.org/officeDocument/2006/relationships/hyperlink" Target="mailto:daim010920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sean.org/wp-content/uploads/2017/09/ASEAN-Guidelines-on-Labelling-Req.-for-HS-2-Oct-2015-rev-with-discla...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ean.org/wp-content/uploads/2018/01/25PPWG-ANNEX-7-iv-Final-ASEAN-Guideline-on-Stability-Study-Drug-Product-R2.pdf" TargetMode="External"/><Relationship Id="rId22" Type="http://schemas.openxmlformats.org/officeDocument/2006/relationships/hyperlink" Target="https://asean.org/our-communities/economic-community/standard-and-con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D24D8DD13B8479FDA360F305F7C5C" ma:contentTypeVersion="24" ma:contentTypeDescription="Create a new document." ma:contentTypeScope="" ma:versionID="99fced5cf8b0df9208c0166e0dd7397a">
  <xsd:schema xmlns:xsd="http://www.w3.org/2001/XMLSchema" xmlns:xs="http://www.w3.org/2001/XMLSchema" xmlns:p="http://schemas.microsoft.com/office/2006/metadata/properties" xmlns:ns2="b879870e-3192-4f0d-8956-d8763c9d9caa" xmlns:ns3="50d51488-8d6c-408c-8e2e-448ce4e05758" targetNamespace="http://schemas.microsoft.com/office/2006/metadata/properties" ma:root="true" ma:fieldsID="a39a02847f0823a95436147e4cf9c84c" ns2:_="" ns3:_="">
    <xsd:import namespace="b879870e-3192-4f0d-8956-d8763c9d9caa"/>
    <xsd:import namespace="50d51488-8d6c-408c-8e2e-448ce4e0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ddtoexternal_x002d_facingsharepoint_x003f_" minOccurs="0"/>
                <xsd:element ref="ns2:Shouldtheaudiencebelimited_x003f_" minOccurs="0"/>
                <xsd:element ref="ns2:Comments" minOccurs="0"/>
                <xsd:element ref="ns2:TopicCategory" minOccurs="0"/>
                <xsd:element ref="ns2:NPRASep2024" minOccurs="0"/>
                <xsd:element ref="ns2:UploadedtomyRS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870e-3192-4f0d-8956-d8763c9d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toexternal_x002d_facingsharepoint_x003f_" ma:index="25" nillable="true" ma:displayName="Add to external-facing sharepoint?" ma:format="Dropdown" ma:internalName="Addtoexternal_x002d_facingsharepoint_x003f_">
      <xsd:simpleType>
        <xsd:union memberTypes="dms:Text">
          <xsd:simpleType>
            <xsd:restriction base="dms:Choice">
              <xsd:enumeration value="Yes"/>
              <xsd:enumeration value="No"/>
              <xsd:enumeration value="Maybe"/>
            </xsd:restriction>
          </xsd:simpleType>
        </xsd:union>
      </xsd:simpleType>
    </xsd:element>
    <xsd:element name="Shouldtheaudiencebelimited_x003f_" ma:index="26" nillable="true" ma:displayName="Should the audience be limited?" ma:format="Dropdown" ma:internalName="Shouldtheaudiencebelimited_x003f_">
      <xsd:simpleType>
        <xsd:union memberTypes="dms:Text">
          <xsd:simpleType>
            <xsd:restriction base="dms:Choice">
              <xsd:enumeration value="No"/>
              <xsd:enumeration value="Yes"/>
              <xsd:enumeration value="Not sure"/>
            </xsd:restriction>
          </xsd:simpleType>
        </xsd:union>
      </xsd:simpleType>
    </xsd:element>
    <xsd:element name="Comments" ma:index="2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TopicCategory" ma:index="28" nillable="true" ma:displayName="Topic Category" ma:format="Dropdown" ma:internalName="TopicCategory">
      <xsd:simpleType>
        <xsd:union memberTypes="dms:Text">
          <xsd:simpleType>
            <xsd:restriction base="dms:Choice">
              <xsd:enumeration value="Introduction to RSP"/>
              <xsd:enumeration value="High level policies and procedures"/>
              <xsd:enumeration value="Reliance and recognition"/>
              <xsd:enumeration value="Risk-based regulation and regulatory framework"/>
              <xsd:enumeration value="GMP"/>
              <xsd:enumeration value="Quality controls"/>
              <xsd:enumeration value="Stability"/>
              <xsd:enumeration value="Complementary medicines"/>
              <xsd:enumeration value="ATMP"/>
              <xsd:enumeration value="SF medicines"/>
              <xsd:enumeration value="PV"/>
              <xsd:enumeration value="Medicine Defects"/>
              <xsd:enumeration value="Lab testing"/>
              <xsd:enumeration value="COVID"/>
            </xsd:restriction>
          </xsd:simpleType>
        </xsd:union>
      </xsd:simpleType>
    </xsd:element>
    <xsd:element name="NPRASep2024" ma:index="29" nillable="true" ma:displayName="NPRA Sep 2024" ma:description="Flag whether it can be used for NPRA visit in Sep 2024" ma:format="Dropdown" ma:internalName="NPRASep202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QB"/>
                    <xsd:enumeration value="Labs"/>
                    <xsd:enumeration value="Regulatory Compliance"/>
                    <xsd:enumeration value="AEMDS"/>
                    <xsd:enumeration value="PV"/>
                    <xsd:enumeration value="Listing Compliance"/>
                  </xsd:restriction>
                </xsd:simpleType>
              </xsd:element>
            </xsd:sequence>
          </xsd:extension>
        </xsd:complexContent>
      </xsd:complexType>
    </xsd:element>
    <xsd:element name="UploadedtomyRSP" ma:index="30" nillable="true" ma:displayName="Uploaded to myRSP" ma:format="Dropdown" ma:internalName="UploadedtomyRSP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51488-8d6c-408c-8e2e-448ce4e0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d54a9f-4a5e-45fc-99a8-94867094b8fe}" ma:internalName="TaxCatchAll" ma:showField="CatchAllData" ma:web="50d51488-8d6c-408c-8e2e-448ce4e0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51488-8d6c-408c-8e2e-448ce4e05758" xsi:nil="true"/>
    <lcf76f155ced4ddcb4097134ff3c332f xmlns="b879870e-3192-4f0d-8956-d8763c9d9caa">
      <Terms xmlns="http://schemas.microsoft.com/office/infopath/2007/PartnerControls"/>
    </lcf76f155ced4ddcb4097134ff3c332f>
    <SharedWithUsers xmlns="50d51488-8d6c-408c-8e2e-448ce4e05758">
      <UserInfo>
        <DisplayName>DANIEL, Abraham</DisplayName>
        <AccountId>34</AccountId>
        <AccountType/>
      </UserInfo>
    </SharedWithUsers>
    <Comments xmlns="b879870e-3192-4f0d-8956-d8763c9d9caa" xsi:nil="true"/>
    <Addtoexternal_x002d_facingsharepoint_x003f_ xmlns="b879870e-3192-4f0d-8956-d8763c9d9caa" xsi:nil="true"/>
    <TopicCategory xmlns="b879870e-3192-4f0d-8956-d8763c9d9caa" xsi:nil="true"/>
    <Shouldtheaudiencebelimited_x003f_ xmlns="b879870e-3192-4f0d-8956-d8763c9d9caa" xsi:nil="true"/>
    <NPRASep2024 xmlns="b879870e-3192-4f0d-8956-d8763c9d9caa" xsi:nil="true"/>
    <UploadedtomyRSP xmlns="b879870e-3192-4f0d-8956-d8763c9d9c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1EC4-3131-47FB-B9B3-6FA39864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870e-3192-4f0d-8956-d8763c9d9caa"/>
    <ds:schemaRef ds:uri="50d51488-8d6c-408c-8e2e-448ce4e0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9700D-70DF-4280-948E-7613723B1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368F9-D226-4CAE-A5FD-5820ABD9EE68}">
  <ds:schemaRefs>
    <ds:schemaRef ds:uri="http://schemas.microsoft.com/office/2006/metadata/properties"/>
    <ds:schemaRef ds:uri="http://schemas.microsoft.com/office/infopath/2007/PartnerControls"/>
    <ds:schemaRef ds:uri="50d51488-8d6c-408c-8e2e-448ce4e05758"/>
    <ds:schemaRef ds:uri="b879870e-3192-4f0d-8956-d8763c9d9caa"/>
  </ds:schemaRefs>
</ds:datastoreItem>
</file>

<file path=customXml/itemProps4.xml><?xml version="1.0" encoding="utf-8"?>
<ds:datastoreItem xmlns:ds="http://schemas.openxmlformats.org/officeDocument/2006/customXml" ds:itemID="{DADD708F-5E8A-47F9-B8FA-0729C660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SHONBERG, Jeremy</dc:creator>
  <cp:keywords/>
  <dc:description/>
  <cp:lastModifiedBy>Teodoro Marcal de Jesus</cp:lastModifiedBy>
  <cp:revision>2</cp:revision>
  <dcterms:created xsi:type="dcterms:W3CDTF">2024-05-16T01:48:00Z</dcterms:created>
  <dcterms:modified xsi:type="dcterms:W3CDTF">2024-05-16T01:48:00Z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0x010100BF5D24D8DD13B8479FDA360F305F7C5C</vt:lpwstr>
  </property>
  <property fmtid="{D5CDD505-2E9C-101B-9397-08002B2CF9AE}" pid="3" name="MediaServiceImageTags">
    <vt:lpwstr/>
  </property>
</Properties>
</file>